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4F705" w14:textId="77777777" w:rsidR="00DB13B2" w:rsidRPr="00DB13B2" w:rsidRDefault="00DB13B2" w:rsidP="00DB13B2">
      <w:pPr>
        <w:keepNext/>
        <w:keepLines/>
        <w:spacing w:after="0" w:line="360" w:lineRule="auto"/>
        <w:jc w:val="center"/>
        <w:outlineLvl w:val="0"/>
        <w:rPr>
          <w:rFonts w:ascii="Arial" w:eastAsia="SimHei" w:hAnsi="Arial" w:cs="Times New Roman"/>
          <w:b/>
          <w:bCs/>
          <w:kern w:val="24"/>
          <w:sz w:val="48"/>
          <w:szCs w:val="24"/>
          <w:lang w:val="en-US" w:eastAsia="ja-JP"/>
        </w:rPr>
      </w:pPr>
      <w:r w:rsidRPr="00DB13B2">
        <w:rPr>
          <w:rFonts w:ascii="Arial" w:eastAsia="SimHei" w:hAnsi="Arial" w:cs="Times New Roman"/>
          <w:b/>
          <w:bCs/>
          <w:kern w:val="24"/>
          <w:sz w:val="48"/>
          <w:szCs w:val="24"/>
          <w:lang w:val="en-US" w:eastAsia="ja-JP"/>
        </w:rPr>
        <w:t>Capital</w:t>
      </w:r>
    </w:p>
    <w:p w14:paraId="2495455F" w14:textId="77777777" w:rsidR="00DB13B2" w:rsidRPr="00DB13B2" w:rsidRDefault="00DB13B2" w:rsidP="00DB13B2">
      <w:pPr>
        <w:keepNext/>
        <w:keepLines/>
        <w:spacing w:after="0" w:line="360" w:lineRule="auto"/>
        <w:ind w:left="360" w:hanging="360"/>
        <w:jc w:val="both"/>
        <w:outlineLvl w:val="1"/>
        <w:rPr>
          <w:rFonts w:ascii="Arial" w:eastAsia="SimHei" w:hAnsi="Arial" w:cs="Times New Roman"/>
          <w:b/>
          <w:bCs/>
          <w:kern w:val="24"/>
          <w:sz w:val="32"/>
          <w:szCs w:val="24"/>
          <w:lang w:val="en-US" w:eastAsia="ja-JP"/>
        </w:rPr>
      </w:pPr>
      <w:r w:rsidRPr="00DB13B2">
        <w:rPr>
          <w:rFonts w:ascii="Arial" w:eastAsia="SimHei" w:hAnsi="Arial" w:cs="Times New Roman"/>
          <w:b/>
          <w:bCs/>
          <w:kern w:val="24"/>
          <w:sz w:val="32"/>
          <w:szCs w:val="24"/>
          <w:lang w:val="en-US" w:eastAsia="ja-JP"/>
        </w:rPr>
        <w:t>Rationale behind capital</w:t>
      </w:r>
    </w:p>
    <w:p w14:paraId="0D931D17"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5FCFAB15"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In a previous chapter, we have seen that legal personhood and limited liability are among the core characteristics of modern companies. However, as discussed in </w:t>
      </w:r>
      <w:r w:rsidRPr="00DB13B2">
        <w:rPr>
          <w:rFonts w:ascii="Arial" w:eastAsia="SimSun" w:hAnsi="Arial" w:cs="Times New Roman"/>
          <w:i/>
          <w:iCs/>
          <w:kern w:val="24"/>
          <w:sz w:val="24"/>
          <w:szCs w:val="24"/>
          <w:lang w:val="en-US" w:eastAsia="ja-JP"/>
        </w:rPr>
        <w:t>Salomon v. A. Salomon</w:t>
      </w:r>
      <w:r w:rsidRPr="00DB13B2">
        <w:rPr>
          <w:rFonts w:ascii="Arial" w:eastAsia="SimSun" w:hAnsi="Arial" w:cs="Times New Roman"/>
          <w:kern w:val="24"/>
          <w:sz w:val="24"/>
          <w:szCs w:val="24"/>
          <w:lang w:val="en-US" w:eastAsia="ja-JP"/>
        </w:rPr>
        <w:t xml:space="preserve">, we have also seen that these notions were/are not readily understandable and are sometimes counterproductive. Recall how the existence of separate legal personhood combined with limited liability can be particularly harsh for (non-adjusting) creditors. </w:t>
      </w:r>
    </w:p>
    <w:p w14:paraId="3CE33984"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74226493"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Hence, over time, the notion of “capital” emerged as a kind of “price” shareholders </w:t>
      </w:r>
      <w:proofErr w:type="gramStart"/>
      <w:r w:rsidRPr="00DB13B2">
        <w:rPr>
          <w:rFonts w:ascii="Arial" w:eastAsia="SimSun" w:hAnsi="Arial" w:cs="Times New Roman"/>
          <w:kern w:val="24"/>
          <w:sz w:val="24"/>
          <w:szCs w:val="24"/>
          <w:lang w:val="en-US" w:eastAsia="ja-JP"/>
        </w:rPr>
        <w:t>have to</w:t>
      </w:r>
      <w:proofErr w:type="gramEnd"/>
      <w:r w:rsidRPr="00DB13B2">
        <w:rPr>
          <w:rFonts w:ascii="Arial" w:eastAsia="SimSun" w:hAnsi="Arial" w:cs="Times New Roman"/>
          <w:kern w:val="24"/>
          <w:sz w:val="24"/>
          <w:szCs w:val="24"/>
          <w:lang w:val="en-US" w:eastAsia="ja-JP"/>
        </w:rPr>
        <w:t xml:space="preserve"> pay to obtain legal personhood and limited liability. At its core, the concept is simple enough. Shareholders pay a certain price per share (i.e., the par value or nominal value per share). The sum of all amounts paid by shareholders constitutes a company’s capital and serves as a guarantee for the company’s creditors. Note that “capital” understood this way is not an </w:t>
      </w:r>
      <w:proofErr w:type="gramStart"/>
      <w:r w:rsidRPr="00DB13B2">
        <w:rPr>
          <w:rFonts w:ascii="Arial" w:eastAsia="SimSun" w:hAnsi="Arial" w:cs="Times New Roman"/>
          <w:kern w:val="24"/>
          <w:sz w:val="24"/>
          <w:szCs w:val="24"/>
          <w:lang w:val="en-US" w:eastAsia="ja-JP"/>
        </w:rPr>
        <w:t>asset in itself, but</w:t>
      </w:r>
      <w:proofErr w:type="gramEnd"/>
      <w:r w:rsidRPr="00DB13B2">
        <w:rPr>
          <w:rFonts w:ascii="Arial" w:eastAsia="SimSun" w:hAnsi="Arial" w:cs="Times New Roman"/>
          <w:kern w:val="24"/>
          <w:sz w:val="24"/>
          <w:szCs w:val="24"/>
          <w:lang w:val="en-US" w:eastAsia="ja-JP"/>
        </w:rPr>
        <w:t xml:space="preserve"> rather a legal notion reflecting the sum of contributions paid by shareholders at the formation of the company (or at a later stage). As a result, capital does not fluctuate, in contrast to the assets of the company, and can serve as a measure of the company’s performance.</w:t>
      </w:r>
    </w:p>
    <w:p w14:paraId="6679639F"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59EFAD4B"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In theory, the system of capital is simple to understand and makes sense. In practice, however, the notion of “capital” raises considerable practical problems. </w:t>
      </w:r>
    </w:p>
    <w:p w14:paraId="5AD7EA9D"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2850771B"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 xml:space="preserve">Read: </w:t>
      </w:r>
      <w:r w:rsidRPr="00DB13B2">
        <w:rPr>
          <w:rFonts w:ascii="Arial" w:eastAsia="SimSun" w:hAnsi="Arial" w:cs="Times New Roman"/>
          <w:b/>
          <w:bCs/>
          <w:i/>
          <w:iCs/>
          <w:kern w:val="24"/>
          <w:sz w:val="24"/>
          <w:szCs w:val="24"/>
          <w:lang w:val="en-US" w:eastAsia="ja-JP"/>
        </w:rPr>
        <w:t xml:space="preserve">Wood v. Dummer </w:t>
      </w:r>
      <w:r w:rsidRPr="00DB13B2">
        <w:rPr>
          <w:rFonts w:ascii="Arial" w:eastAsia="SimSun" w:hAnsi="Arial" w:cs="Times New Roman"/>
          <w:b/>
          <w:bCs/>
          <w:kern w:val="24"/>
          <w:sz w:val="24"/>
          <w:szCs w:val="24"/>
          <w:lang w:val="en-US" w:eastAsia="ja-JP"/>
        </w:rPr>
        <w:t>(District Court, D. Maine, 1824)</w:t>
      </w:r>
    </w:p>
    <w:p w14:paraId="31F61A21"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p>
    <w:p w14:paraId="49553D3A" w14:textId="77777777" w:rsidR="00DB13B2" w:rsidRPr="00DB13B2" w:rsidRDefault="00DB13B2" w:rsidP="00DB13B2">
      <w:pPr>
        <w:spacing w:after="0" w:line="360" w:lineRule="auto"/>
        <w:ind w:firstLine="720"/>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Do you understand the facts of the case, the issue at hand and the holding of the Court?</w:t>
      </w:r>
    </w:p>
    <w:p w14:paraId="661AC0B8" w14:textId="77777777" w:rsidR="00DB13B2" w:rsidRPr="00DB13B2" w:rsidRDefault="00DB13B2" w:rsidP="00DB13B2">
      <w:pPr>
        <w:spacing w:after="0" w:line="360" w:lineRule="auto"/>
        <w:ind w:firstLine="720"/>
        <w:jc w:val="both"/>
        <w:rPr>
          <w:rFonts w:ascii="Arial" w:eastAsia="SimSun" w:hAnsi="Arial" w:cs="Times New Roman"/>
          <w:i/>
          <w:iCs/>
          <w:kern w:val="24"/>
          <w:sz w:val="24"/>
          <w:szCs w:val="24"/>
          <w:lang w:val="en-US" w:eastAsia="ja-JP"/>
        </w:rPr>
      </w:pPr>
    </w:p>
    <w:p w14:paraId="2B604D34" w14:textId="77777777" w:rsidR="00DB13B2" w:rsidRPr="00DB13B2" w:rsidRDefault="00DB13B2" w:rsidP="00DB13B2">
      <w:pPr>
        <w:spacing w:after="0" w:line="360" w:lineRule="auto"/>
        <w:ind w:firstLine="720"/>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The Court offers a rather simplistic view on the role of capital. Can you identify a few problems with this view. Consider the following question: what happens when the company is at a loss and needs to attract fresh investments? Do you see any problems with the idea of capital and par value in particular? How could this problem be resolved?</w:t>
      </w:r>
    </w:p>
    <w:p w14:paraId="287E8F1F" w14:textId="77777777" w:rsidR="00DB13B2" w:rsidRPr="00DB13B2" w:rsidRDefault="00DB13B2" w:rsidP="00DB13B2">
      <w:pPr>
        <w:spacing w:after="0" w:line="360" w:lineRule="auto"/>
        <w:ind w:firstLine="720"/>
        <w:jc w:val="both"/>
        <w:rPr>
          <w:rFonts w:ascii="Arial" w:eastAsia="SimSun" w:hAnsi="Arial" w:cs="Times New Roman"/>
          <w:i/>
          <w:iCs/>
          <w:kern w:val="24"/>
          <w:sz w:val="24"/>
          <w:szCs w:val="24"/>
          <w:lang w:val="en-US" w:eastAsia="ja-JP"/>
        </w:rPr>
      </w:pPr>
    </w:p>
    <w:p w14:paraId="1A4559D4" w14:textId="77777777" w:rsidR="00DB13B2" w:rsidRPr="00DB13B2" w:rsidRDefault="00DB13B2" w:rsidP="00DB13B2">
      <w:pPr>
        <w:spacing w:after="0" w:line="360" w:lineRule="auto"/>
        <w:ind w:firstLine="720"/>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What are the implications of the solutions discussed above to the “par value” problem for the notion of capital?</w:t>
      </w:r>
    </w:p>
    <w:p w14:paraId="7193CB04"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4DE050B6"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lastRenderedPageBreak/>
        <w:t xml:space="preserve">Because of the problems associated with capital, it has lost its relevance in some jurisdictions, </w:t>
      </w:r>
      <w:proofErr w:type="gramStart"/>
      <w:r w:rsidRPr="00DB13B2">
        <w:rPr>
          <w:rFonts w:ascii="Arial" w:eastAsia="SimSun" w:hAnsi="Arial" w:cs="Times New Roman"/>
          <w:kern w:val="24"/>
          <w:sz w:val="24"/>
          <w:szCs w:val="24"/>
          <w:lang w:val="en-US" w:eastAsia="ja-JP"/>
        </w:rPr>
        <w:t>in particular</w:t>
      </w:r>
      <w:proofErr w:type="gramEnd"/>
      <w:r w:rsidRPr="00DB13B2">
        <w:rPr>
          <w:rFonts w:ascii="Arial" w:eastAsia="SimSun" w:hAnsi="Arial" w:cs="Times New Roman"/>
          <w:kern w:val="24"/>
          <w:sz w:val="24"/>
          <w:szCs w:val="24"/>
          <w:lang w:val="en-US" w:eastAsia="ja-JP"/>
        </w:rPr>
        <w:t xml:space="preserve"> the United States. The MBCA, for example, no longer reference capital (although Delaware company law still uses the concept, albeit without relying on par value shares). Within the European Union, on the other hand, capital remains an important concept of company law. </w:t>
      </w:r>
    </w:p>
    <w:p w14:paraId="3185447D"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60A1383D"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In the past, various EU jurisdictions had various rules on capital. France’s </w:t>
      </w:r>
      <w:r w:rsidRPr="00DB13B2">
        <w:rPr>
          <w:rFonts w:ascii="Arial" w:eastAsia="SimSun" w:hAnsi="Arial" w:cs="Times New Roman"/>
          <w:i/>
          <w:iCs/>
          <w:kern w:val="24"/>
          <w:sz w:val="24"/>
          <w:szCs w:val="24"/>
          <w:lang w:val="en-US" w:eastAsia="ja-JP"/>
        </w:rPr>
        <w:t xml:space="preserve">Code de Commerce </w:t>
      </w:r>
      <w:r w:rsidRPr="00DB13B2">
        <w:rPr>
          <w:rFonts w:ascii="Arial" w:eastAsia="SimSun" w:hAnsi="Arial" w:cs="Times New Roman"/>
          <w:kern w:val="24"/>
          <w:sz w:val="24"/>
          <w:szCs w:val="24"/>
          <w:lang w:val="en-US" w:eastAsia="ja-JP"/>
        </w:rPr>
        <w:t>contained a codified, but simple set of rules. English company law (when the UK was still a Member State) relied originally on case law to develop capital rules, while Germany developed a very elaborate notion of capital and associated rules. Ultimately, it is the German approach that inspired the current EU framework, which is codified in Chapter 4 CLP.</w:t>
      </w:r>
    </w:p>
    <w:p w14:paraId="23F76B48"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65DB6AF1"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b/>
          <w:bCs/>
          <w:kern w:val="24"/>
          <w:sz w:val="24"/>
          <w:szCs w:val="24"/>
          <w:lang w:val="en-US" w:eastAsia="ja-JP"/>
        </w:rPr>
        <w:t>Read: Chapter 4 CLP</w:t>
      </w:r>
    </w:p>
    <w:p w14:paraId="2DA28BD3"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4FDAE32F"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 xml:space="preserve">We will continue discussing a variety of rules on capital in Chapter 4. Before continuing, do you understand whose interests are (allegedly) protected by the notion of “capital” and the associated rules? </w:t>
      </w:r>
    </w:p>
    <w:p w14:paraId="1B4A717F"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11F0CC70"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According to article 44 CLP, capital requirements only apply to a specific type of company. Nevertheless, some countries choose to (1) impose more demanding requirements than put forward by the Directive and/or (2) extend these requirements to other types of companies. What do you think of these types of “</w:t>
      </w:r>
      <w:proofErr w:type="spellStart"/>
      <w:r w:rsidRPr="00DB13B2">
        <w:rPr>
          <w:rFonts w:ascii="Arial" w:eastAsia="SimSun" w:hAnsi="Arial" w:cs="Times New Roman"/>
          <w:i/>
          <w:iCs/>
          <w:kern w:val="24"/>
          <w:sz w:val="24"/>
          <w:szCs w:val="24"/>
          <w:lang w:val="en-US" w:eastAsia="ja-JP"/>
        </w:rPr>
        <w:t>goldplating</w:t>
      </w:r>
      <w:proofErr w:type="spellEnd"/>
      <w:r w:rsidRPr="00DB13B2">
        <w:rPr>
          <w:rFonts w:ascii="Arial" w:eastAsia="SimSun" w:hAnsi="Arial" w:cs="Times New Roman"/>
          <w:i/>
          <w:iCs/>
          <w:kern w:val="24"/>
          <w:sz w:val="24"/>
          <w:szCs w:val="24"/>
          <w:lang w:val="en-US" w:eastAsia="ja-JP"/>
        </w:rPr>
        <w:t xml:space="preserve">”. What arguments can you come up with in </w:t>
      </w:r>
      <w:proofErr w:type="gramStart"/>
      <w:r w:rsidRPr="00DB13B2">
        <w:rPr>
          <w:rFonts w:ascii="Arial" w:eastAsia="SimSun" w:hAnsi="Arial" w:cs="Times New Roman"/>
          <w:i/>
          <w:iCs/>
          <w:kern w:val="24"/>
          <w:sz w:val="24"/>
          <w:szCs w:val="24"/>
          <w:lang w:val="en-US" w:eastAsia="ja-JP"/>
        </w:rPr>
        <w:t>favor</w:t>
      </w:r>
      <w:proofErr w:type="gramEnd"/>
      <w:r w:rsidRPr="00DB13B2">
        <w:rPr>
          <w:rFonts w:ascii="Arial" w:eastAsia="SimSun" w:hAnsi="Arial" w:cs="Times New Roman"/>
          <w:i/>
          <w:iCs/>
          <w:kern w:val="24"/>
          <w:sz w:val="24"/>
          <w:szCs w:val="24"/>
          <w:lang w:val="en-US" w:eastAsia="ja-JP"/>
        </w:rPr>
        <w:t xml:space="preserve"> or opposed to </w:t>
      </w:r>
      <w:proofErr w:type="spellStart"/>
      <w:r w:rsidRPr="00DB13B2">
        <w:rPr>
          <w:rFonts w:ascii="Arial" w:eastAsia="SimSun" w:hAnsi="Arial" w:cs="Times New Roman"/>
          <w:i/>
          <w:iCs/>
          <w:kern w:val="24"/>
          <w:sz w:val="24"/>
          <w:szCs w:val="24"/>
          <w:lang w:val="en-US" w:eastAsia="ja-JP"/>
        </w:rPr>
        <w:t>goldplating</w:t>
      </w:r>
      <w:proofErr w:type="spellEnd"/>
      <w:r w:rsidRPr="00DB13B2">
        <w:rPr>
          <w:rFonts w:ascii="Arial" w:eastAsia="SimSun" w:hAnsi="Arial" w:cs="Times New Roman"/>
          <w:i/>
          <w:iCs/>
          <w:kern w:val="24"/>
          <w:sz w:val="24"/>
          <w:szCs w:val="24"/>
          <w:lang w:val="en-US" w:eastAsia="ja-JP"/>
        </w:rPr>
        <w:t xml:space="preserve"> capital rules?</w:t>
      </w:r>
    </w:p>
    <w:p w14:paraId="5DDF9A1C"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66281191"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2A36C902" w14:textId="77777777" w:rsidR="00DB13B2" w:rsidRPr="00DB13B2" w:rsidRDefault="00DB13B2" w:rsidP="00DB13B2">
      <w:pPr>
        <w:keepNext/>
        <w:keepLines/>
        <w:spacing w:after="0" w:line="360" w:lineRule="auto"/>
        <w:ind w:left="360" w:hanging="360"/>
        <w:jc w:val="both"/>
        <w:outlineLvl w:val="1"/>
        <w:rPr>
          <w:rFonts w:ascii="Arial" w:eastAsia="SimHei" w:hAnsi="Arial" w:cs="Times New Roman"/>
          <w:b/>
          <w:bCs/>
          <w:kern w:val="24"/>
          <w:sz w:val="32"/>
          <w:szCs w:val="24"/>
          <w:lang w:val="en-US" w:eastAsia="ja-JP"/>
        </w:rPr>
      </w:pPr>
      <w:r w:rsidRPr="00DB13B2">
        <w:rPr>
          <w:rFonts w:ascii="Arial" w:eastAsia="SimHei" w:hAnsi="Arial" w:cs="Times New Roman"/>
          <w:b/>
          <w:bCs/>
          <w:kern w:val="24"/>
          <w:sz w:val="32"/>
          <w:szCs w:val="24"/>
          <w:lang w:val="en-US" w:eastAsia="ja-JP"/>
        </w:rPr>
        <w:t>Capital requirements</w:t>
      </w:r>
    </w:p>
    <w:p w14:paraId="12CA29B2" w14:textId="77777777" w:rsidR="00DB13B2" w:rsidRPr="00DB13B2" w:rsidRDefault="00DB13B2" w:rsidP="00DB13B2">
      <w:pPr>
        <w:spacing w:after="0" w:line="360" w:lineRule="auto"/>
        <w:ind w:firstLine="720"/>
        <w:jc w:val="both"/>
        <w:rPr>
          <w:rFonts w:ascii="Arial" w:eastAsia="SimSun" w:hAnsi="Arial" w:cs="Times New Roman"/>
          <w:kern w:val="24"/>
          <w:sz w:val="24"/>
          <w:szCs w:val="24"/>
          <w:lang w:val="en-US" w:eastAsia="ja-JP"/>
        </w:rPr>
      </w:pPr>
    </w:p>
    <w:p w14:paraId="70AE4E94" w14:textId="77777777" w:rsidR="00DB13B2" w:rsidRPr="00DB13B2" w:rsidRDefault="00DB13B2" w:rsidP="00DB13B2">
      <w:pPr>
        <w:keepNext/>
        <w:keepLines/>
        <w:spacing w:after="0" w:line="360" w:lineRule="auto"/>
        <w:ind w:left="360" w:hanging="360"/>
        <w:jc w:val="both"/>
        <w:outlineLvl w:val="2"/>
        <w:rPr>
          <w:rFonts w:ascii="Arial" w:eastAsia="SimHei" w:hAnsi="Arial" w:cs="Times New Roman"/>
          <w:b/>
          <w:bCs/>
          <w:i/>
          <w:kern w:val="24"/>
          <w:sz w:val="28"/>
          <w:szCs w:val="24"/>
          <w:lang w:val="en-US" w:eastAsia="ja-JP"/>
        </w:rPr>
      </w:pPr>
      <w:r w:rsidRPr="00DB13B2">
        <w:rPr>
          <w:rFonts w:ascii="Arial" w:eastAsia="SimHei" w:hAnsi="Arial" w:cs="Times New Roman"/>
          <w:b/>
          <w:bCs/>
          <w:i/>
          <w:kern w:val="24"/>
          <w:sz w:val="28"/>
          <w:szCs w:val="24"/>
          <w:lang w:val="en-US" w:eastAsia="ja-JP"/>
        </w:rPr>
        <w:t>Capital formation</w:t>
      </w:r>
    </w:p>
    <w:p w14:paraId="6A097774"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0838885E"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The first set of capital requirements relates to the formation of capital. These rules can be divided into two sets: (1) rules relating to the minimal </w:t>
      </w:r>
      <w:r w:rsidRPr="00DB13B2">
        <w:rPr>
          <w:rFonts w:ascii="Arial" w:eastAsia="SimSun" w:hAnsi="Arial" w:cs="Times New Roman"/>
          <w:i/>
          <w:iCs/>
          <w:kern w:val="24"/>
          <w:sz w:val="24"/>
          <w:szCs w:val="24"/>
          <w:lang w:val="en-US" w:eastAsia="ja-JP"/>
        </w:rPr>
        <w:t xml:space="preserve">amount </w:t>
      </w:r>
      <w:r w:rsidRPr="00DB13B2">
        <w:rPr>
          <w:rFonts w:ascii="Arial" w:eastAsia="SimSun" w:hAnsi="Arial" w:cs="Times New Roman"/>
          <w:kern w:val="24"/>
          <w:sz w:val="24"/>
          <w:szCs w:val="24"/>
          <w:lang w:val="en-US" w:eastAsia="ja-JP"/>
        </w:rPr>
        <w:t xml:space="preserve">of assets that must form the capital and (2) rules relating to the minimal </w:t>
      </w:r>
      <w:r w:rsidRPr="00DB13B2">
        <w:rPr>
          <w:rFonts w:ascii="Arial" w:eastAsia="SimSun" w:hAnsi="Arial" w:cs="Times New Roman"/>
          <w:i/>
          <w:iCs/>
          <w:kern w:val="24"/>
          <w:sz w:val="24"/>
          <w:szCs w:val="24"/>
          <w:lang w:val="en-US" w:eastAsia="ja-JP"/>
        </w:rPr>
        <w:t xml:space="preserve">value </w:t>
      </w:r>
      <w:r w:rsidRPr="00DB13B2">
        <w:rPr>
          <w:rFonts w:ascii="Arial" w:eastAsia="SimSun" w:hAnsi="Arial" w:cs="Times New Roman"/>
          <w:kern w:val="24"/>
          <w:sz w:val="24"/>
          <w:szCs w:val="24"/>
          <w:lang w:val="en-US" w:eastAsia="ja-JP"/>
        </w:rPr>
        <w:t xml:space="preserve">of the assets that form the capital. Concerning the first set of rules, three main concepts are important: (1) minimal capital, (2) par value and (3) the distinction between contribution and payment of capital. </w:t>
      </w:r>
    </w:p>
    <w:p w14:paraId="7BD42ED9"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16163D96"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lastRenderedPageBreak/>
        <w:t xml:space="preserve">Minimal capital refers to, unsurprisingly, a minimal amount of capital that must be contributed </w:t>
      </w:r>
      <w:proofErr w:type="gramStart"/>
      <w:r w:rsidRPr="00DB13B2">
        <w:rPr>
          <w:rFonts w:ascii="Arial" w:eastAsia="SimSun" w:hAnsi="Arial" w:cs="Times New Roman"/>
          <w:kern w:val="24"/>
          <w:sz w:val="24"/>
          <w:szCs w:val="24"/>
          <w:lang w:val="en-US" w:eastAsia="ja-JP"/>
        </w:rPr>
        <w:t>at</w:t>
      </w:r>
      <w:proofErr w:type="gramEnd"/>
      <w:r w:rsidRPr="00DB13B2">
        <w:rPr>
          <w:rFonts w:ascii="Arial" w:eastAsia="SimSun" w:hAnsi="Arial" w:cs="Times New Roman"/>
          <w:kern w:val="24"/>
          <w:sz w:val="24"/>
          <w:szCs w:val="24"/>
          <w:lang w:val="en-US" w:eastAsia="ja-JP"/>
        </w:rPr>
        <w:t xml:space="preserve"> the incorporation of the company. The CLP sets this at 25.000 euros, although various jurisdictions set a higher minimal capital. </w:t>
      </w:r>
    </w:p>
    <w:p w14:paraId="6E45559E"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74F27C17"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kern w:val="24"/>
          <w:sz w:val="24"/>
          <w:szCs w:val="24"/>
          <w:lang w:val="en-US" w:eastAsia="ja-JP"/>
        </w:rPr>
        <w:tab/>
      </w:r>
      <w:r w:rsidRPr="00DB13B2">
        <w:rPr>
          <w:rFonts w:ascii="Arial" w:eastAsia="SimSun" w:hAnsi="Arial" w:cs="Times New Roman"/>
          <w:i/>
          <w:iCs/>
          <w:kern w:val="24"/>
          <w:sz w:val="24"/>
          <w:szCs w:val="24"/>
          <w:lang w:val="en-US" w:eastAsia="ja-JP"/>
        </w:rPr>
        <w:t>Do you see problems with the notion of minimal capital? Do you see advantages to this notion?</w:t>
      </w:r>
    </w:p>
    <w:p w14:paraId="158F7B90"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3C840ADF"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The concept of par value has already been discussed. In principle, the CLP prevents companies from issuing shares below par. Whether it is required to issue shares at a premium (i.e., above par) when the market value of the shares exceeds is not decided by the CLP. One could, however, consider director’s fiduciary duties here.</w:t>
      </w:r>
    </w:p>
    <w:p w14:paraId="30A1D266"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ab/>
      </w:r>
    </w:p>
    <w:p w14:paraId="4B114E2C"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 xml:space="preserve">Read: </w:t>
      </w:r>
      <w:r w:rsidRPr="00DB13B2">
        <w:rPr>
          <w:rFonts w:ascii="Arial" w:eastAsia="SimSun" w:hAnsi="Arial" w:cs="Times New Roman"/>
          <w:b/>
          <w:bCs/>
          <w:i/>
          <w:iCs/>
          <w:kern w:val="24"/>
          <w:sz w:val="24"/>
          <w:szCs w:val="24"/>
          <w:lang w:val="en-US" w:eastAsia="ja-JP"/>
        </w:rPr>
        <w:t xml:space="preserve">Lowry v. Consolidated African Selection Trust Ltd. </w:t>
      </w:r>
      <w:r w:rsidRPr="00DB13B2">
        <w:rPr>
          <w:rFonts w:ascii="Arial" w:eastAsia="SimSun" w:hAnsi="Arial" w:cs="Times New Roman"/>
          <w:b/>
          <w:bCs/>
          <w:kern w:val="24"/>
          <w:sz w:val="24"/>
          <w:szCs w:val="24"/>
          <w:lang w:val="en-US" w:eastAsia="ja-JP"/>
        </w:rPr>
        <w:t>(House of Lords, 1940)</w:t>
      </w:r>
    </w:p>
    <w:p w14:paraId="71F0D3E2"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p>
    <w:p w14:paraId="3EFD8681"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kern w:val="24"/>
          <w:sz w:val="24"/>
          <w:szCs w:val="24"/>
          <w:lang w:val="en-US" w:eastAsia="ja-JP"/>
        </w:rPr>
        <w:tab/>
      </w:r>
      <w:r w:rsidRPr="00DB13B2">
        <w:rPr>
          <w:rFonts w:ascii="Arial" w:eastAsia="SimSun" w:hAnsi="Arial" w:cs="Times New Roman"/>
          <w:i/>
          <w:iCs/>
          <w:kern w:val="24"/>
          <w:sz w:val="24"/>
          <w:szCs w:val="24"/>
          <w:lang w:val="en-US" w:eastAsia="ja-JP"/>
        </w:rPr>
        <w:t xml:space="preserve">What are the facts of this case and what rule </w:t>
      </w:r>
      <w:proofErr w:type="gramStart"/>
      <w:r w:rsidRPr="00DB13B2">
        <w:rPr>
          <w:rFonts w:ascii="Arial" w:eastAsia="SimSun" w:hAnsi="Arial" w:cs="Times New Roman"/>
          <w:i/>
          <w:iCs/>
          <w:kern w:val="24"/>
          <w:sz w:val="24"/>
          <w:szCs w:val="24"/>
          <w:lang w:val="en-US" w:eastAsia="ja-JP"/>
        </w:rPr>
        <w:t>does</w:t>
      </w:r>
      <w:proofErr w:type="gramEnd"/>
      <w:r w:rsidRPr="00DB13B2">
        <w:rPr>
          <w:rFonts w:ascii="Arial" w:eastAsia="SimSun" w:hAnsi="Arial" w:cs="Times New Roman"/>
          <w:i/>
          <w:iCs/>
          <w:kern w:val="24"/>
          <w:sz w:val="24"/>
          <w:szCs w:val="24"/>
          <w:lang w:val="en-US" w:eastAsia="ja-JP"/>
        </w:rPr>
        <w:t xml:space="preserve"> the House of Lords establish for the issuing of shares at a premium?</w:t>
      </w:r>
    </w:p>
    <w:p w14:paraId="1F1DD104"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55E84B3C"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 xml:space="preserve">How do you evaluate the House of Lord’s reasoning </w:t>
      </w:r>
      <w:proofErr w:type="gramStart"/>
      <w:r w:rsidRPr="00DB13B2">
        <w:rPr>
          <w:rFonts w:ascii="Arial" w:eastAsia="SimSun" w:hAnsi="Arial" w:cs="Times New Roman"/>
          <w:i/>
          <w:iCs/>
          <w:kern w:val="24"/>
          <w:sz w:val="24"/>
          <w:szCs w:val="24"/>
          <w:lang w:val="en-US" w:eastAsia="ja-JP"/>
        </w:rPr>
        <w:t>in light of</w:t>
      </w:r>
      <w:proofErr w:type="gramEnd"/>
      <w:r w:rsidRPr="00DB13B2">
        <w:rPr>
          <w:rFonts w:ascii="Arial" w:eastAsia="SimSun" w:hAnsi="Arial" w:cs="Times New Roman"/>
          <w:i/>
          <w:iCs/>
          <w:kern w:val="24"/>
          <w:sz w:val="24"/>
          <w:szCs w:val="24"/>
          <w:lang w:val="en-US" w:eastAsia="ja-JP"/>
        </w:rPr>
        <w:t xml:space="preserve"> the purposes of capital, in particular the purpose of shareholder protection?</w:t>
      </w:r>
    </w:p>
    <w:p w14:paraId="4B9B3342"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1C0A4B7D"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 xml:space="preserve">In the absence of formal rules on this matter in the CLP, do you see any other possible ground for establishing a duty to issue shares at a premium? </w:t>
      </w:r>
    </w:p>
    <w:p w14:paraId="51FEAC16"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Third, a distinction must be made between the contribution (i.e., “promise”) of capital, which must be irrevocable and fully made and the actual payment of the capital.</w:t>
      </w:r>
    </w:p>
    <w:p w14:paraId="321CB23E"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11EEBDBB"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kern w:val="24"/>
          <w:sz w:val="24"/>
          <w:szCs w:val="24"/>
          <w:lang w:val="en-US" w:eastAsia="ja-JP"/>
        </w:rPr>
        <w:tab/>
      </w:r>
      <w:r w:rsidRPr="00DB13B2">
        <w:rPr>
          <w:rFonts w:ascii="Arial" w:eastAsia="SimSun" w:hAnsi="Arial" w:cs="Times New Roman"/>
          <w:i/>
          <w:iCs/>
          <w:kern w:val="24"/>
          <w:sz w:val="24"/>
          <w:szCs w:val="24"/>
          <w:lang w:val="en-US" w:eastAsia="ja-JP"/>
        </w:rPr>
        <w:t>Can you explain the difference between contribution and payment? Where can you find the rules on payment? Do these rules make sense to you? What problems can you identify with these rules?</w:t>
      </w:r>
    </w:p>
    <w:p w14:paraId="0EF1742C"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6002692A"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Concerning the second set of rules, the first issue here is the problem of valuing contributions in kind. The CLP sets out quite elaborate requirements for these in Article 49 (</w:t>
      </w:r>
      <w:proofErr w:type="gramStart"/>
      <w:r w:rsidRPr="00DB13B2">
        <w:rPr>
          <w:rFonts w:ascii="Arial" w:eastAsia="SimSun" w:hAnsi="Arial" w:cs="Times New Roman"/>
          <w:kern w:val="24"/>
          <w:sz w:val="24"/>
          <w:szCs w:val="24"/>
          <w:lang w:val="en-US" w:eastAsia="ja-JP"/>
        </w:rPr>
        <w:t>in particular the</w:t>
      </w:r>
      <w:proofErr w:type="gramEnd"/>
      <w:r w:rsidRPr="00DB13B2">
        <w:rPr>
          <w:rFonts w:ascii="Arial" w:eastAsia="SimSun" w:hAnsi="Arial" w:cs="Times New Roman"/>
          <w:kern w:val="24"/>
          <w:sz w:val="24"/>
          <w:szCs w:val="24"/>
          <w:lang w:val="en-US" w:eastAsia="ja-JP"/>
        </w:rPr>
        <w:t xml:space="preserve"> requirement of obtaining an expert report) and some exceptions to this requirement. </w:t>
      </w:r>
      <w:proofErr w:type="gramStart"/>
      <w:r w:rsidRPr="00DB13B2">
        <w:rPr>
          <w:rFonts w:ascii="Arial" w:eastAsia="SimSun" w:hAnsi="Arial" w:cs="Times New Roman"/>
          <w:kern w:val="24"/>
          <w:sz w:val="24"/>
          <w:szCs w:val="24"/>
          <w:lang w:val="en-US" w:eastAsia="ja-JP"/>
        </w:rPr>
        <w:t>A second issue,</w:t>
      </w:r>
      <w:proofErr w:type="gramEnd"/>
      <w:r w:rsidRPr="00DB13B2">
        <w:rPr>
          <w:rFonts w:ascii="Arial" w:eastAsia="SimSun" w:hAnsi="Arial" w:cs="Times New Roman"/>
          <w:kern w:val="24"/>
          <w:sz w:val="24"/>
          <w:szCs w:val="24"/>
          <w:lang w:val="en-US" w:eastAsia="ja-JP"/>
        </w:rPr>
        <w:t xml:space="preserve"> is that of a company subscribing to its own shares, which is prohibited.</w:t>
      </w:r>
    </w:p>
    <w:p w14:paraId="57895E67"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4BF76FB5"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kern w:val="24"/>
          <w:sz w:val="24"/>
          <w:szCs w:val="24"/>
          <w:lang w:val="en-US" w:eastAsia="ja-JP"/>
        </w:rPr>
        <w:lastRenderedPageBreak/>
        <w:tab/>
      </w:r>
      <w:r w:rsidRPr="00DB13B2">
        <w:rPr>
          <w:rFonts w:ascii="Arial" w:eastAsia="SimSun" w:hAnsi="Arial" w:cs="Times New Roman"/>
          <w:i/>
          <w:iCs/>
          <w:kern w:val="24"/>
          <w:sz w:val="24"/>
          <w:szCs w:val="24"/>
          <w:lang w:val="en-US" w:eastAsia="ja-JP"/>
        </w:rPr>
        <w:t xml:space="preserve">What problems arise with contributions in kind? Do you think an expert report can solve/mitigate these problems? </w:t>
      </w:r>
    </w:p>
    <w:p w14:paraId="6E8547DF"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0A231D0B"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Can you think of some circumstances where these measures would be inadequate.</w:t>
      </w:r>
    </w:p>
    <w:p w14:paraId="001DD92F"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14219DAB"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 xml:space="preserve">What exceptions apply to the requirement of obtaining an expert report? </w:t>
      </w:r>
    </w:p>
    <w:p w14:paraId="68AA686F"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6C75652F"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What are quasi-contributions and why do we (more or less) apply the rules for contributions in kind?</w:t>
      </w:r>
    </w:p>
    <w:p w14:paraId="6EB7BFF2"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1A4B9B21"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 xml:space="preserve">Why can companies not subscribe to their own shares? How would this look like </w:t>
      </w:r>
      <w:proofErr w:type="gramStart"/>
      <w:r w:rsidRPr="00DB13B2">
        <w:rPr>
          <w:rFonts w:ascii="Arial" w:eastAsia="SimSun" w:hAnsi="Arial" w:cs="Times New Roman"/>
          <w:i/>
          <w:iCs/>
          <w:kern w:val="24"/>
          <w:sz w:val="24"/>
          <w:szCs w:val="24"/>
          <w:lang w:val="en-US" w:eastAsia="ja-JP"/>
        </w:rPr>
        <w:t>in</w:t>
      </w:r>
      <w:proofErr w:type="gramEnd"/>
      <w:r w:rsidRPr="00DB13B2">
        <w:rPr>
          <w:rFonts w:ascii="Arial" w:eastAsia="SimSun" w:hAnsi="Arial" w:cs="Times New Roman"/>
          <w:i/>
          <w:iCs/>
          <w:kern w:val="24"/>
          <w:sz w:val="24"/>
          <w:szCs w:val="24"/>
          <w:lang w:val="en-US" w:eastAsia="ja-JP"/>
        </w:rPr>
        <w:t xml:space="preserve"> a balance sheet?</w:t>
      </w:r>
    </w:p>
    <w:p w14:paraId="618B1056"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2EFE9ACB" w14:textId="77777777" w:rsidR="00DB13B2" w:rsidRPr="00DB13B2" w:rsidRDefault="00DB13B2" w:rsidP="00DB13B2">
      <w:pPr>
        <w:keepNext/>
        <w:keepLines/>
        <w:spacing w:after="0" w:line="360" w:lineRule="auto"/>
        <w:ind w:left="360" w:hanging="360"/>
        <w:jc w:val="both"/>
        <w:outlineLvl w:val="2"/>
        <w:rPr>
          <w:rFonts w:ascii="Arial" w:eastAsia="SimHei" w:hAnsi="Arial" w:cs="Times New Roman"/>
          <w:b/>
          <w:bCs/>
          <w:i/>
          <w:kern w:val="24"/>
          <w:sz w:val="28"/>
          <w:szCs w:val="24"/>
          <w:lang w:val="en-US" w:eastAsia="ja-JP"/>
        </w:rPr>
      </w:pPr>
      <w:r w:rsidRPr="00DB13B2">
        <w:rPr>
          <w:rFonts w:ascii="Arial" w:eastAsia="SimHei" w:hAnsi="Arial" w:cs="Times New Roman"/>
          <w:b/>
          <w:bCs/>
          <w:i/>
          <w:kern w:val="24"/>
          <w:sz w:val="28"/>
          <w:szCs w:val="24"/>
          <w:lang w:val="en-US" w:eastAsia="ja-JP"/>
        </w:rPr>
        <w:t>Capital maintenance</w:t>
      </w:r>
    </w:p>
    <w:p w14:paraId="788538A2"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29DA855B"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The second set of capital requirements protect a company against direct and indirect profit distributions. Direct profit distributions include dividends, interim dividends and intermediary dividends. Indirect profit distributions include the acquisition of a company of its own shares, and financial assistance. A capital reduction can also be seen as an indirect profit distribution but will be discussed separately. </w:t>
      </w:r>
    </w:p>
    <w:p w14:paraId="3F3ABA1E" w14:textId="77777777" w:rsidR="00DB13B2" w:rsidRPr="00DB13B2" w:rsidRDefault="00DB13B2" w:rsidP="00DB13B2">
      <w:pPr>
        <w:spacing w:after="0" w:line="360" w:lineRule="auto"/>
        <w:jc w:val="both"/>
        <w:rPr>
          <w:rFonts w:ascii="Arial" w:eastAsia="SimSun" w:hAnsi="Arial" w:cs="Times New Roman"/>
          <w:b/>
          <w:bCs/>
          <w:kern w:val="24"/>
          <w:sz w:val="24"/>
          <w:szCs w:val="24"/>
          <w:u w:val="single"/>
          <w:lang w:val="en-US" w:eastAsia="ja-JP"/>
        </w:rPr>
      </w:pPr>
    </w:p>
    <w:p w14:paraId="4B02E45E"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ab/>
      </w:r>
      <w:r w:rsidRPr="00DB13B2">
        <w:rPr>
          <w:rFonts w:ascii="Arial" w:eastAsia="SimSun" w:hAnsi="Arial" w:cs="Times New Roman"/>
          <w:b/>
          <w:bCs/>
          <w:kern w:val="24"/>
          <w:sz w:val="24"/>
          <w:szCs w:val="24"/>
          <w:u w:val="single"/>
          <w:lang w:val="en-US" w:eastAsia="ja-JP"/>
        </w:rPr>
        <w:t>Direct profit distribution</w:t>
      </w:r>
    </w:p>
    <w:p w14:paraId="48FFD153"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190E3B91"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At the most basic level, direct profit distributions (e.g., the payment of a dividend) are only possible when the company’s net assets (NA, i.e., assets – debts – provisions – R&amp;D) exceed the capital plus the non-distributable reserves. These reserves are either imposed by law or by the bylaws/Articles of Association of the company (although this is rare). Additionally, interim dividends are subject to some additional rules (</w:t>
      </w:r>
      <w:proofErr w:type="gramStart"/>
      <w:r w:rsidRPr="00DB13B2">
        <w:rPr>
          <w:rFonts w:ascii="Arial" w:eastAsia="SimSun" w:hAnsi="Arial" w:cs="Times New Roman"/>
          <w:kern w:val="24"/>
          <w:sz w:val="24"/>
          <w:szCs w:val="24"/>
          <w:lang w:val="en-US" w:eastAsia="ja-JP"/>
        </w:rPr>
        <w:t>see,</w:t>
      </w:r>
      <w:proofErr w:type="gramEnd"/>
      <w:r w:rsidRPr="00DB13B2">
        <w:rPr>
          <w:rFonts w:ascii="Arial" w:eastAsia="SimSun" w:hAnsi="Arial" w:cs="Times New Roman"/>
          <w:kern w:val="24"/>
          <w:sz w:val="24"/>
          <w:szCs w:val="24"/>
          <w:lang w:val="en-US" w:eastAsia="ja-JP"/>
        </w:rPr>
        <w:t xml:space="preserve"> Article 56 CLP). </w:t>
      </w:r>
    </w:p>
    <w:p w14:paraId="520FD80E"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44E07BA2"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What happens when a company cannot distribute profits, but nevertheless does so (indirectly)? Suppose, for example, that a company sells certain assets below their actual value at a shareholder? At the director’s level, there are rules on conflicts of </w:t>
      </w:r>
      <w:proofErr w:type="gramStart"/>
      <w:r w:rsidRPr="00DB13B2">
        <w:rPr>
          <w:rFonts w:ascii="Arial" w:eastAsia="SimSun" w:hAnsi="Arial" w:cs="Times New Roman"/>
          <w:kern w:val="24"/>
          <w:sz w:val="24"/>
          <w:szCs w:val="24"/>
          <w:lang w:val="en-US" w:eastAsia="ja-JP"/>
        </w:rPr>
        <w:t>interests</w:t>
      </w:r>
      <w:proofErr w:type="gramEnd"/>
      <w:r w:rsidRPr="00DB13B2">
        <w:rPr>
          <w:rFonts w:ascii="Arial" w:eastAsia="SimSun" w:hAnsi="Arial" w:cs="Times New Roman"/>
          <w:kern w:val="24"/>
          <w:sz w:val="24"/>
          <w:szCs w:val="24"/>
          <w:lang w:val="en-US" w:eastAsia="ja-JP"/>
        </w:rPr>
        <w:t xml:space="preserve">, but what happens at the level of the shareholders? This is not regulated by the CLP and two approaches are possible. According to an objective approach, it is sufficient that a distribution occurred that does not correspond to market value without proper justification, </w:t>
      </w:r>
      <w:r w:rsidRPr="00DB13B2">
        <w:rPr>
          <w:rFonts w:ascii="Arial" w:eastAsia="SimSun" w:hAnsi="Arial" w:cs="Times New Roman"/>
          <w:kern w:val="24"/>
          <w:sz w:val="24"/>
          <w:szCs w:val="24"/>
          <w:lang w:val="en-US" w:eastAsia="ja-JP"/>
        </w:rPr>
        <w:lastRenderedPageBreak/>
        <w:t xml:space="preserve">for a claim to restitution to exist. According to a subjective approach, these conditions must be fulfilled </w:t>
      </w:r>
      <w:r w:rsidRPr="00DB13B2">
        <w:rPr>
          <w:rFonts w:ascii="Arial" w:eastAsia="SimSun" w:hAnsi="Arial" w:cs="Times New Roman"/>
          <w:i/>
          <w:iCs/>
          <w:kern w:val="24"/>
          <w:sz w:val="24"/>
          <w:szCs w:val="24"/>
          <w:lang w:val="en-US" w:eastAsia="ja-JP"/>
        </w:rPr>
        <w:t xml:space="preserve">and </w:t>
      </w:r>
      <w:r w:rsidRPr="00DB13B2">
        <w:rPr>
          <w:rFonts w:ascii="Arial" w:eastAsia="SimSun" w:hAnsi="Arial" w:cs="Times New Roman"/>
          <w:kern w:val="24"/>
          <w:sz w:val="24"/>
          <w:szCs w:val="24"/>
          <w:lang w:val="en-US" w:eastAsia="ja-JP"/>
        </w:rPr>
        <w:t xml:space="preserve">there must be an intent to engage in a disguised distribution. </w:t>
      </w:r>
    </w:p>
    <w:p w14:paraId="72F3DAED"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1022B794"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 xml:space="preserve">Read: Progress Property Company Ltd. v. </w:t>
      </w:r>
      <w:proofErr w:type="spellStart"/>
      <w:r w:rsidRPr="00DB13B2">
        <w:rPr>
          <w:rFonts w:ascii="Arial" w:eastAsia="SimSun" w:hAnsi="Arial" w:cs="Times New Roman"/>
          <w:b/>
          <w:bCs/>
          <w:kern w:val="24"/>
          <w:sz w:val="24"/>
          <w:szCs w:val="24"/>
          <w:lang w:val="en-US" w:eastAsia="ja-JP"/>
        </w:rPr>
        <w:t>Moorgarth</w:t>
      </w:r>
      <w:proofErr w:type="spellEnd"/>
      <w:r w:rsidRPr="00DB13B2">
        <w:rPr>
          <w:rFonts w:ascii="Arial" w:eastAsia="SimSun" w:hAnsi="Arial" w:cs="Times New Roman"/>
          <w:b/>
          <w:bCs/>
          <w:kern w:val="24"/>
          <w:sz w:val="24"/>
          <w:szCs w:val="24"/>
          <w:lang w:val="en-US" w:eastAsia="ja-JP"/>
        </w:rPr>
        <w:t xml:space="preserve"> Group Ltd. (Supreme Court of the United Kingdom, 2009)</w:t>
      </w:r>
    </w:p>
    <w:p w14:paraId="1EE95773"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p>
    <w:p w14:paraId="78CC9078"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What criteria does the Supreme Court set forth in this case? What does this imply from an evidentiary point of view? Do you support this view?</w:t>
      </w:r>
    </w:p>
    <w:p w14:paraId="5ACF468D"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5CD26BE8"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There are alternatives available to these rules in jurisdictions that do not have capital requirements. These emanate from fiduciary duties or general laws on fraud, or from different company law rules. For example, the MBCA proposed a two-step test to decide whether distributions are permissible. </w:t>
      </w:r>
    </w:p>
    <w:p w14:paraId="0F829793"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1FFD9249"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Read: Article 6.40 MBCA</w:t>
      </w:r>
    </w:p>
    <w:p w14:paraId="5DE1B09E"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kern w:val="24"/>
          <w:sz w:val="24"/>
          <w:szCs w:val="24"/>
          <w:lang w:val="en-US" w:eastAsia="ja-JP"/>
        </w:rPr>
        <w:tab/>
      </w:r>
      <w:r w:rsidRPr="00DB13B2">
        <w:rPr>
          <w:rFonts w:ascii="Arial" w:eastAsia="SimSun" w:hAnsi="Arial" w:cs="Times New Roman"/>
          <w:i/>
          <w:iCs/>
          <w:kern w:val="24"/>
          <w:sz w:val="24"/>
          <w:szCs w:val="24"/>
          <w:lang w:val="en-US" w:eastAsia="ja-JP"/>
        </w:rPr>
        <w:t>Do you understand the two-step test proposed by the MBCA? Can you describe the steps? How does this approach compare to the capital rules discussed above? Do you understand the advantages and disadvantages of this approach?</w:t>
      </w:r>
    </w:p>
    <w:p w14:paraId="36417CC8"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095CE744"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ab/>
      </w:r>
      <w:r w:rsidRPr="00DB13B2">
        <w:rPr>
          <w:rFonts w:ascii="Arial" w:eastAsia="SimSun" w:hAnsi="Arial" w:cs="Times New Roman"/>
          <w:b/>
          <w:bCs/>
          <w:kern w:val="24"/>
          <w:sz w:val="24"/>
          <w:szCs w:val="24"/>
          <w:u w:val="single"/>
          <w:lang w:val="en-US" w:eastAsia="ja-JP"/>
        </w:rPr>
        <w:t>Indirect profit distribution</w:t>
      </w:r>
    </w:p>
    <w:p w14:paraId="4C20D0AD"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21F266CC"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A first way of indirectly distributing profits is by the acquisition by the company of its own shares (to be distinguished from subscribing to its own shares). By buying shares from the shareholders at market value instead of par value, profit can indirectly be distributed to these shareholders. Additionally, the acquisition of a company’s owns shares by the company can serve other useful purposes as well, such as supporting the company’s stock price, protecting against a hostile takeover bid, or ending a corporate dispute. Once bought, the company can preserve the shares for later reselling, destroy them or sell them again immediately. </w:t>
      </w:r>
    </w:p>
    <w:p w14:paraId="6B5E73CD"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218D7B8E"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There </w:t>
      </w:r>
      <w:proofErr w:type="gramStart"/>
      <w:r w:rsidRPr="00DB13B2">
        <w:rPr>
          <w:rFonts w:ascii="Arial" w:eastAsia="SimSun" w:hAnsi="Arial" w:cs="Times New Roman"/>
          <w:kern w:val="24"/>
          <w:sz w:val="24"/>
          <w:szCs w:val="24"/>
          <w:lang w:val="en-US" w:eastAsia="ja-JP"/>
        </w:rPr>
        <w:t>are</w:t>
      </w:r>
      <w:proofErr w:type="gramEnd"/>
      <w:r w:rsidRPr="00DB13B2">
        <w:rPr>
          <w:rFonts w:ascii="Arial" w:eastAsia="SimSun" w:hAnsi="Arial" w:cs="Times New Roman"/>
          <w:kern w:val="24"/>
          <w:sz w:val="24"/>
          <w:szCs w:val="24"/>
          <w:lang w:val="en-US" w:eastAsia="ja-JP"/>
        </w:rPr>
        <w:t xml:space="preserve"> however, a few risks inherent to this transaction: insider trading and market manipulation may occur. The voting rights of the purchased shares must be suspended to avoid self-control by the directors. Finally, questions </w:t>
      </w:r>
      <w:proofErr w:type="gramStart"/>
      <w:r w:rsidRPr="00DB13B2">
        <w:rPr>
          <w:rFonts w:ascii="Arial" w:eastAsia="SimSun" w:hAnsi="Arial" w:cs="Times New Roman"/>
          <w:kern w:val="24"/>
          <w:sz w:val="24"/>
          <w:szCs w:val="24"/>
          <w:lang w:val="en-US" w:eastAsia="ja-JP"/>
        </w:rPr>
        <w:t>of</w:t>
      </w:r>
      <w:proofErr w:type="gramEnd"/>
      <w:r w:rsidRPr="00DB13B2">
        <w:rPr>
          <w:rFonts w:ascii="Arial" w:eastAsia="SimSun" w:hAnsi="Arial" w:cs="Times New Roman"/>
          <w:kern w:val="24"/>
          <w:sz w:val="24"/>
          <w:szCs w:val="24"/>
          <w:lang w:val="en-US" w:eastAsia="ja-JP"/>
        </w:rPr>
        <w:t xml:space="preserve"> capital protection arise. To mediate this last problem, Article 60 CLP sets out the general principles that are adopted (and sometimes changed) throughout the EU for this problem. The MBCA on the other hand, </w:t>
      </w:r>
      <w:r w:rsidRPr="00DB13B2">
        <w:rPr>
          <w:rFonts w:ascii="Arial" w:eastAsia="SimSun" w:hAnsi="Arial" w:cs="Times New Roman"/>
          <w:kern w:val="24"/>
          <w:sz w:val="24"/>
          <w:szCs w:val="24"/>
          <w:lang w:val="en-US" w:eastAsia="ja-JP"/>
        </w:rPr>
        <w:lastRenderedPageBreak/>
        <w:t>simply applies the same rules as for direct profit distributions in combination with directors’ fiduciary duties (see above).</w:t>
      </w:r>
    </w:p>
    <w:p w14:paraId="4BC9C8A2"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1722C4B9"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Read: Article 60 CLP.</w:t>
      </w:r>
    </w:p>
    <w:p w14:paraId="2BE1A6D4"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p>
    <w:p w14:paraId="0AC9E0A5"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Describe the basic principles underlying the acquisition of shares by the company. Are there exceptions to these principles? Why?</w:t>
      </w:r>
    </w:p>
    <w:p w14:paraId="7DBBD44F"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29CCC7A6"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How does this look on a balance sheet?</w:t>
      </w:r>
    </w:p>
    <w:p w14:paraId="3013E2FA"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05F76917"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r w:rsidRPr="00DB13B2">
        <w:rPr>
          <w:rFonts w:ascii="Arial" w:eastAsia="SimSun" w:hAnsi="Arial" w:cs="Times New Roman"/>
          <w:kern w:val="24"/>
          <w:sz w:val="24"/>
          <w:szCs w:val="24"/>
          <w:lang w:val="en-US" w:eastAsia="ja-JP"/>
        </w:rPr>
        <w:t xml:space="preserve">A second way to indirectly distribute profits is by providing financial assistance to a third party for the acquisition of shares </w:t>
      </w:r>
      <w:proofErr w:type="gramStart"/>
      <w:r w:rsidRPr="00DB13B2">
        <w:rPr>
          <w:rFonts w:ascii="Arial" w:eastAsia="SimSun" w:hAnsi="Arial" w:cs="Times New Roman"/>
          <w:kern w:val="24"/>
          <w:sz w:val="24"/>
          <w:szCs w:val="24"/>
          <w:lang w:val="en-US" w:eastAsia="ja-JP"/>
        </w:rPr>
        <w:t>of</w:t>
      </w:r>
      <w:proofErr w:type="gramEnd"/>
      <w:r w:rsidRPr="00DB13B2">
        <w:rPr>
          <w:rFonts w:ascii="Arial" w:eastAsia="SimSun" w:hAnsi="Arial" w:cs="Times New Roman"/>
          <w:kern w:val="24"/>
          <w:sz w:val="24"/>
          <w:szCs w:val="24"/>
          <w:lang w:val="en-US" w:eastAsia="ja-JP"/>
        </w:rPr>
        <w:t xml:space="preserve"> the company. By doing this, the company absorbs part of the risks that would ordinarily lie </w:t>
      </w:r>
      <w:proofErr w:type="gramStart"/>
      <w:r w:rsidRPr="00DB13B2">
        <w:rPr>
          <w:rFonts w:ascii="Arial" w:eastAsia="SimSun" w:hAnsi="Arial" w:cs="Times New Roman"/>
          <w:kern w:val="24"/>
          <w:sz w:val="24"/>
          <w:szCs w:val="24"/>
          <w:lang w:val="en-US" w:eastAsia="ja-JP"/>
        </w:rPr>
        <w:t>on</w:t>
      </w:r>
      <w:proofErr w:type="gramEnd"/>
      <w:r w:rsidRPr="00DB13B2">
        <w:rPr>
          <w:rFonts w:ascii="Arial" w:eastAsia="SimSun" w:hAnsi="Arial" w:cs="Times New Roman"/>
          <w:kern w:val="24"/>
          <w:sz w:val="24"/>
          <w:szCs w:val="24"/>
          <w:lang w:val="en-US" w:eastAsia="ja-JP"/>
        </w:rPr>
        <w:t xml:space="preserve"> the shareholder. In the United States, this is regulated through securities law, the fiduciary duties of the directors and case law on fraudulent transfers. In the European Union, on the other hand, the basic principles are set out in Article 64 CLP and are based on English company law (see Section 678 Companies Act.</w:t>
      </w:r>
    </w:p>
    <w:p w14:paraId="7F8749C7" w14:textId="77777777" w:rsidR="00DB13B2" w:rsidRPr="00DB13B2" w:rsidRDefault="00DB13B2" w:rsidP="00DB13B2">
      <w:pPr>
        <w:spacing w:after="0" w:line="360" w:lineRule="auto"/>
        <w:jc w:val="both"/>
        <w:rPr>
          <w:rFonts w:ascii="Arial" w:eastAsia="SimSun" w:hAnsi="Arial" w:cs="Times New Roman"/>
          <w:kern w:val="24"/>
          <w:sz w:val="24"/>
          <w:szCs w:val="24"/>
          <w:lang w:val="en-US" w:eastAsia="ja-JP"/>
        </w:rPr>
      </w:pPr>
    </w:p>
    <w:p w14:paraId="042660DE"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 xml:space="preserve">Read: </w:t>
      </w:r>
      <w:r w:rsidRPr="00DB13B2">
        <w:rPr>
          <w:rFonts w:ascii="Arial" w:eastAsia="SimSun" w:hAnsi="Arial" w:cs="Times New Roman"/>
          <w:b/>
          <w:bCs/>
          <w:i/>
          <w:iCs/>
          <w:kern w:val="24"/>
          <w:sz w:val="24"/>
          <w:szCs w:val="24"/>
          <w:lang w:val="en-US" w:eastAsia="ja-JP"/>
        </w:rPr>
        <w:t xml:space="preserve">In re Bay Plastics </w:t>
      </w:r>
      <w:r w:rsidRPr="00DB13B2">
        <w:rPr>
          <w:rFonts w:ascii="Arial" w:eastAsia="SimSun" w:hAnsi="Arial" w:cs="Times New Roman"/>
          <w:b/>
          <w:bCs/>
          <w:kern w:val="24"/>
          <w:sz w:val="24"/>
          <w:szCs w:val="24"/>
          <w:lang w:val="en-US" w:eastAsia="ja-JP"/>
        </w:rPr>
        <w:t>(US Bankruptcy Court, Central District of California, 1995)</w:t>
      </w:r>
    </w:p>
    <w:p w14:paraId="4F5EC4A4"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ab/>
      </w:r>
      <w:r w:rsidRPr="00DB13B2">
        <w:rPr>
          <w:rFonts w:ascii="Arial" w:eastAsia="SimSun" w:hAnsi="Arial" w:cs="Times New Roman"/>
          <w:b/>
          <w:bCs/>
          <w:i/>
          <w:iCs/>
          <w:kern w:val="24"/>
          <w:sz w:val="24"/>
          <w:szCs w:val="24"/>
          <w:lang w:val="en-US" w:eastAsia="ja-JP"/>
        </w:rPr>
        <w:t>Brady v. Brady</w:t>
      </w:r>
      <w:r w:rsidRPr="00DB13B2">
        <w:rPr>
          <w:rFonts w:ascii="Arial" w:eastAsia="SimSun" w:hAnsi="Arial" w:cs="Times New Roman"/>
          <w:b/>
          <w:bCs/>
          <w:kern w:val="24"/>
          <w:sz w:val="24"/>
          <w:szCs w:val="24"/>
          <w:lang w:val="en-US" w:eastAsia="ja-JP"/>
        </w:rPr>
        <w:t xml:space="preserve"> (House of Lords, 1989)</w:t>
      </w:r>
    </w:p>
    <w:p w14:paraId="01AAB6ED"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ab/>
        <w:t>Art. 64 CLP</w:t>
      </w:r>
    </w:p>
    <w:p w14:paraId="0D38526E"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r w:rsidRPr="00DB13B2">
        <w:rPr>
          <w:rFonts w:ascii="Arial" w:eastAsia="SimSun" w:hAnsi="Arial" w:cs="Times New Roman"/>
          <w:b/>
          <w:bCs/>
          <w:kern w:val="24"/>
          <w:sz w:val="24"/>
          <w:szCs w:val="24"/>
          <w:lang w:val="en-US" w:eastAsia="ja-JP"/>
        </w:rPr>
        <w:tab/>
        <w:t>Section 678 Companies Act</w:t>
      </w:r>
    </w:p>
    <w:p w14:paraId="44BEFF82" w14:textId="77777777" w:rsidR="00DB13B2" w:rsidRPr="00DB13B2" w:rsidRDefault="00DB13B2" w:rsidP="00DB13B2">
      <w:pPr>
        <w:spacing w:after="0" w:line="360" w:lineRule="auto"/>
        <w:jc w:val="both"/>
        <w:rPr>
          <w:rFonts w:ascii="Arial" w:eastAsia="SimSun" w:hAnsi="Arial" w:cs="Times New Roman"/>
          <w:b/>
          <w:bCs/>
          <w:kern w:val="24"/>
          <w:sz w:val="24"/>
          <w:szCs w:val="24"/>
          <w:lang w:val="en-US" w:eastAsia="ja-JP"/>
        </w:rPr>
      </w:pPr>
    </w:p>
    <w:p w14:paraId="6E5CFBE0"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 xml:space="preserve">Do you understand the facts, holding and relevance of the cases discussed above? How does the US approach set out in </w:t>
      </w:r>
      <w:proofErr w:type="gramStart"/>
      <w:r w:rsidRPr="00DB13B2">
        <w:rPr>
          <w:rFonts w:ascii="Arial" w:eastAsia="SimSun" w:hAnsi="Arial" w:cs="Times New Roman"/>
          <w:i/>
          <w:iCs/>
          <w:kern w:val="24"/>
          <w:sz w:val="24"/>
          <w:szCs w:val="24"/>
          <w:lang w:val="en-US" w:eastAsia="ja-JP"/>
        </w:rPr>
        <w:t>In</w:t>
      </w:r>
      <w:proofErr w:type="gramEnd"/>
      <w:r w:rsidRPr="00DB13B2">
        <w:rPr>
          <w:rFonts w:ascii="Arial" w:eastAsia="SimSun" w:hAnsi="Arial" w:cs="Times New Roman"/>
          <w:i/>
          <w:iCs/>
          <w:kern w:val="24"/>
          <w:sz w:val="24"/>
          <w:szCs w:val="24"/>
          <w:lang w:val="en-US" w:eastAsia="ja-JP"/>
        </w:rPr>
        <w:t xml:space="preserve"> re Bay plastics differ from the approach in Brady v. Brady?</w:t>
      </w:r>
    </w:p>
    <w:p w14:paraId="0037B33F"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73E41688"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Do you understand how English company law has inspired EU law? Do you see any major differences? Is the holding of Brady v. Brady reconcilable with the CLP?</w:t>
      </w:r>
    </w:p>
    <w:p w14:paraId="1041446A"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p>
    <w:p w14:paraId="32EA52AD" w14:textId="77777777" w:rsidR="00DB13B2" w:rsidRPr="00DB13B2" w:rsidRDefault="00DB13B2" w:rsidP="00DB13B2">
      <w:pPr>
        <w:spacing w:after="0" w:line="360" w:lineRule="auto"/>
        <w:jc w:val="both"/>
        <w:rPr>
          <w:rFonts w:ascii="Arial" w:eastAsia="SimSun" w:hAnsi="Arial" w:cs="Times New Roman"/>
          <w:i/>
          <w:iCs/>
          <w:kern w:val="24"/>
          <w:sz w:val="24"/>
          <w:szCs w:val="24"/>
          <w:lang w:val="en-US" w:eastAsia="ja-JP"/>
        </w:rPr>
      </w:pPr>
      <w:r w:rsidRPr="00DB13B2">
        <w:rPr>
          <w:rFonts w:ascii="Arial" w:eastAsia="SimSun" w:hAnsi="Arial" w:cs="Times New Roman"/>
          <w:i/>
          <w:iCs/>
          <w:kern w:val="24"/>
          <w:sz w:val="24"/>
          <w:szCs w:val="24"/>
          <w:lang w:val="en-US" w:eastAsia="ja-JP"/>
        </w:rPr>
        <w:tab/>
        <w:t>How would the provision of financial assistance in accordance with the principles of the CLP look on a balance sheet?</w:t>
      </w:r>
    </w:p>
    <w:p w14:paraId="3D632B61" w14:textId="1AB25FF9" w:rsidR="00D8681C" w:rsidRPr="00DB13B2" w:rsidRDefault="00D8681C" w:rsidP="00AF1FE8">
      <w:pPr>
        <w:pStyle w:val="BodyText"/>
        <w:rPr>
          <w:sz w:val="20"/>
          <w:szCs w:val="24"/>
          <w:lang w:val="en-US"/>
        </w:rPr>
      </w:pPr>
    </w:p>
    <w:sectPr w:rsidR="00D8681C" w:rsidRPr="00DB13B2" w:rsidSect="004D54F4">
      <w:headerReference w:type="even" r:id="rId9"/>
      <w:headerReference w:type="default" r:id="rId10"/>
      <w:footerReference w:type="even" r:id="rId11"/>
      <w:footerReference w:type="default" r:id="rId12"/>
      <w:headerReference w:type="first" r:id="rId13"/>
      <w:footerReference w:type="first" r:id="rId14"/>
      <w:pgSz w:w="11906" w:h="16838"/>
      <w:pgMar w:top="851" w:right="1191" w:bottom="90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2643" w14:textId="77777777" w:rsidR="00D125A7" w:rsidRDefault="00D125A7" w:rsidP="00DB3175">
      <w:pPr>
        <w:spacing w:after="0" w:line="240" w:lineRule="auto"/>
      </w:pPr>
      <w:r>
        <w:separator/>
      </w:r>
    </w:p>
  </w:endnote>
  <w:endnote w:type="continuationSeparator" w:id="0">
    <w:p w14:paraId="1D09AB1A" w14:textId="77777777" w:rsidR="00D125A7" w:rsidRDefault="00D125A7" w:rsidP="00DB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6543" w14:textId="77777777" w:rsidR="00DB3175" w:rsidRDefault="00DB3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9923" w14:textId="77777777" w:rsidR="00DB3175" w:rsidRDefault="00DB3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A202" w14:textId="77777777" w:rsidR="00DB3175" w:rsidRDefault="00DB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030BC" w14:textId="77777777" w:rsidR="00D125A7" w:rsidRDefault="00D125A7" w:rsidP="00DB3175">
      <w:pPr>
        <w:spacing w:after="0" w:line="240" w:lineRule="auto"/>
      </w:pPr>
      <w:r>
        <w:separator/>
      </w:r>
    </w:p>
  </w:footnote>
  <w:footnote w:type="continuationSeparator" w:id="0">
    <w:p w14:paraId="28C014AB" w14:textId="77777777" w:rsidR="00D125A7" w:rsidRDefault="00D125A7" w:rsidP="00DB3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30CE" w14:textId="77777777" w:rsidR="00DB3175" w:rsidRDefault="00DB3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15F7" w14:textId="77777777" w:rsidR="00DB3175" w:rsidRDefault="00DB31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5094" w14:textId="77777777" w:rsidR="00DB3175" w:rsidRDefault="00DB3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B0F"/>
    <w:multiLevelType w:val="multilevel"/>
    <w:tmpl w:val="53A8EE16"/>
    <w:lvl w:ilvl="0">
      <w:start w:val="1"/>
      <w:numFmt w:val="decimal"/>
      <w:pStyle w:val="ListHeading1White"/>
      <w:suff w:val="space"/>
      <w:lvlText w:val="%1."/>
      <w:lvlJc w:val="left"/>
      <w:pPr>
        <w:ind w:left="0" w:firstLine="0"/>
      </w:pPr>
      <w:rPr>
        <w:rFonts w:hint="default"/>
        <w:color w:val="FFFFFF" w:themeColor="background1"/>
      </w:rPr>
    </w:lvl>
    <w:lvl w:ilvl="1">
      <w:start w:val="1"/>
      <w:numFmt w:val="decimal"/>
      <w:pStyle w:val="ListHeading2"/>
      <w:suff w:val="space"/>
      <w:lvlText w:val="%1.%2"/>
      <w:lvlJc w:val="left"/>
      <w:pPr>
        <w:ind w:left="0" w:firstLine="0"/>
      </w:pPr>
      <w:rPr>
        <w:rFonts w:hint="default"/>
        <w:color w:val="00A2E0" w:themeColor="accent2"/>
      </w:rPr>
    </w:lvl>
    <w:lvl w:ilvl="2">
      <w:start w:val="1"/>
      <w:numFmt w:val="decimal"/>
      <w:pStyle w:val="ListHeading3"/>
      <w:suff w:val="space"/>
      <w:lvlText w:val="%1.%2.%3"/>
      <w:lvlJc w:val="left"/>
      <w:pPr>
        <w:ind w:left="0" w:firstLine="0"/>
      </w:pPr>
      <w:rPr>
        <w:rFonts w:ascii="Arial Black" w:hAnsi="Arial Black" w:hint="default"/>
        <w:b/>
        <w:i w:val="0"/>
        <w:color w:val="06357A" w:themeColor="accent1"/>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3E93CD5"/>
    <w:multiLevelType w:val="multilevel"/>
    <w:tmpl w:val="06821370"/>
    <w:styleLink w:val="NotesBullet"/>
    <w:lvl w:ilvl="0">
      <w:start w:val="1"/>
      <w:numFmt w:val="bullet"/>
      <w:pStyle w:val="NotesBullet0"/>
      <w:lvlText w:val=""/>
      <w:lvlJc w:val="left"/>
      <w:pPr>
        <w:ind w:left="170" w:hanging="170"/>
      </w:pPr>
      <w:rPr>
        <w:rFonts w:ascii="Wingdings 2" w:hAnsi="Wingdings 2"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2" w15:restartNumberingAfterBreak="0">
    <w:nsid w:val="0FB11B13"/>
    <w:multiLevelType w:val="multilevel"/>
    <w:tmpl w:val="DAA0AF14"/>
    <w:numStyleLink w:val="AnnexHeading"/>
  </w:abstractNum>
  <w:abstractNum w:abstractNumId="3" w15:restartNumberingAfterBreak="0">
    <w:nsid w:val="14E7250F"/>
    <w:multiLevelType w:val="multilevel"/>
    <w:tmpl w:val="4B5A14BA"/>
    <w:numStyleLink w:val="ListNumbers"/>
  </w:abstractNum>
  <w:abstractNum w:abstractNumId="4" w15:restartNumberingAfterBreak="0">
    <w:nsid w:val="24737B8D"/>
    <w:multiLevelType w:val="multilevel"/>
    <w:tmpl w:val="C512F44A"/>
    <w:numStyleLink w:val="ListBullets"/>
  </w:abstractNum>
  <w:abstractNum w:abstractNumId="5" w15:restartNumberingAfterBreak="0">
    <w:nsid w:val="30567E88"/>
    <w:multiLevelType w:val="hybridMultilevel"/>
    <w:tmpl w:val="C60C38A0"/>
    <w:lvl w:ilvl="0" w:tplc="899EF12C">
      <w:start w:val="1"/>
      <w:numFmt w:val="bullet"/>
      <w:lvlText w:val=""/>
      <w:lvlJc w:val="left"/>
      <w:pPr>
        <w:tabs>
          <w:tab w:val="num" w:pos="360"/>
        </w:tabs>
        <w:ind w:left="360" w:hanging="360"/>
      </w:pPr>
      <w:rPr>
        <w:rFonts w:ascii="Symbol" w:hAnsi="Symbol" w:hint="default"/>
        <w:color w:val="00A2E0" w:themeColor="accent2"/>
        <w:sz w:val="18"/>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30CB1427"/>
    <w:multiLevelType w:val="multilevel"/>
    <w:tmpl w:val="06821370"/>
    <w:numStyleLink w:val="NotesBullet"/>
  </w:abstractNum>
  <w:abstractNum w:abstractNumId="7" w15:restartNumberingAfterBreak="0">
    <w:nsid w:val="376316F6"/>
    <w:multiLevelType w:val="multilevel"/>
    <w:tmpl w:val="9AFA068E"/>
    <w:styleLink w:val="ListHeadings"/>
    <w:lvl w:ilvl="0">
      <w:start w:val="1"/>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color w:val="00A2E0" w:themeColor="accent2"/>
      </w:rPr>
    </w:lvl>
    <w:lvl w:ilvl="2">
      <w:start w:val="1"/>
      <w:numFmt w:val="decimal"/>
      <w:suff w:val="space"/>
      <w:lvlText w:val="%1.%2.%3"/>
      <w:lvlJc w:val="left"/>
      <w:pPr>
        <w:ind w:left="0" w:firstLine="0"/>
      </w:pPr>
      <w:rPr>
        <w:rFonts w:ascii="Arial Black" w:hAnsi="Arial Black" w:hint="default"/>
        <w:b/>
        <w:i w:val="0"/>
        <w:color w:val="06357A" w:themeColor="accent1"/>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3A75568D"/>
    <w:multiLevelType w:val="multilevel"/>
    <w:tmpl w:val="73FC21F8"/>
    <w:styleLink w:val="NotesNumber"/>
    <w:lvl w:ilvl="0">
      <w:start w:val="1"/>
      <w:numFmt w:val="decimal"/>
      <w:pStyle w:val="NotesNumber0"/>
      <w:lvlText w:val="%1."/>
      <w:lvlJc w:val="left"/>
      <w:pPr>
        <w:ind w:left="170" w:hanging="170"/>
      </w:pPr>
      <w:rPr>
        <w:rFonts w:hint="default"/>
      </w:rPr>
    </w:lvl>
    <w:lvl w:ilvl="1">
      <w:start w:val="1"/>
      <w:numFmt w:val="decimal"/>
      <w:lvlText w:val="%1.%2"/>
      <w:lvlJc w:val="left"/>
      <w:pPr>
        <w:ind w:left="454" w:hanging="284"/>
      </w:pPr>
      <w:rPr>
        <w:rFonts w:hint="default"/>
      </w:rPr>
    </w:lvl>
    <w:lvl w:ilvl="2">
      <w:start w:val="1"/>
      <w:numFmt w:val="decimal"/>
      <w:lvlText w:val="%1.%2.%3"/>
      <w:lvlJc w:val="left"/>
      <w:pPr>
        <w:ind w:left="907" w:hanging="453"/>
      </w:pPr>
      <w:rPr>
        <w:rFonts w:hint="default"/>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9" w15:restartNumberingAfterBreak="0">
    <w:nsid w:val="4DF57664"/>
    <w:multiLevelType w:val="multilevel"/>
    <w:tmpl w:val="C512F44A"/>
    <w:styleLink w:val="ListBullets"/>
    <w:lvl w:ilvl="0">
      <w:start w:val="1"/>
      <w:numFmt w:val="bullet"/>
      <w:lvlRestart w:val="0"/>
      <w:pStyle w:val="ListBullet"/>
      <w:lvlText w:val="•"/>
      <w:lvlJc w:val="left"/>
      <w:pPr>
        <w:ind w:left="284" w:hanging="284"/>
      </w:pPr>
      <w:rPr>
        <w:rFonts w:ascii="Calibri" w:hAnsi="Calibri" w:hint="default"/>
        <w:color w:val="00A2E0" w:themeColor="accent2"/>
      </w:rPr>
    </w:lvl>
    <w:lvl w:ilvl="1">
      <w:start w:val="1"/>
      <w:numFmt w:val="bullet"/>
      <w:lvlText w:val="•"/>
      <w:lvlJc w:val="left"/>
      <w:pPr>
        <w:ind w:left="567" w:hanging="283"/>
      </w:pPr>
      <w:rPr>
        <w:rFonts w:ascii="Calibri" w:hAnsi="Calibri" w:hint="default"/>
        <w:color w:val="00A2E0" w:themeColor="accent2"/>
      </w:rPr>
    </w:lvl>
    <w:lvl w:ilvl="2">
      <w:start w:val="1"/>
      <w:numFmt w:val="bullet"/>
      <w:lvlText w:val="–"/>
      <w:lvlJc w:val="left"/>
      <w:pPr>
        <w:ind w:left="851" w:hanging="284"/>
      </w:pPr>
      <w:rPr>
        <w:rFonts w:ascii="Arial" w:hAnsi="Arial" w:hint="default"/>
        <w:color w:val="00A2E0" w:themeColor="accent2"/>
      </w:rPr>
    </w:lvl>
    <w:lvl w:ilvl="3">
      <w:start w:val="1"/>
      <w:numFmt w:val="none"/>
      <w:lvlText w:val=""/>
      <w:lvlJc w:val="left"/>
      <w:pPr>
        <w:ind w:left="1021" w:firstLine="0"/>
      </w:pPr>
      <w:rPr>
        <w:rFonts w:hint="default"/>
      </w:rPr>
    </w:lvl>
    <w:lvl w:ilvl="4">
      <w:start w:val="1"/>
      <w:numFmt w:val="none"/>
      <w:lvlText w:val=""/>
      <w:lvlJc w:val="left"/>
      <w:pPr>
        <w:ind w:left="1021" w:firstLine="0"/>
      </w:pPr>
      <w:rPr>
        <w:rFonts w:hint="default"/>
      </w:rPr>
    </w:lvl>
    <w:lvl w:ilvl="5">
      <w:start w:val="1"/>
      <w:numFmt w:val="none"/>
      <w:lvlText w:val=""/>
      <w:lvlJc w:val="left"/>
      <w:pPr>
        <w:ind w:left="1021" w:firstLine="0"/>
      </w:pPr>
      <w:rPr>
        <w:rFonts w:hint="default"/>
      </w:rPr>
    </w:lvl>
    <w:lvl w:ilvl="6">
      <w:start w:val="1"/>
      <w:numFmt w:val="none"/>
      <w:lvlText w:val=""/>
      <w:lvlJc w:val="left"/>
      <w:pPr>
        <w:ind w:left="1021" w:firstLine="0"/>
      </w:pPr>
      <w:rPr>
        <w:rFonts w:hint="default"/>
      </w:rPr>
    </w:lvl>
    <w:lvl w:ilvl="7">
      <w:start w:val="1"/>
      <w:numFmt w:val="none"/>
      <w:lvlText w:val=""/>
      <w:lvlJc w:val="left"/>
      <w:pPr>
        <w:ind w:left="1021" w:firstLine="0"/>
      </w:pPr>
      <w:rPr>
        <w:rFonts w:hint="default"/>
      </w:rPr>
    </w:lvl>
    <w:lvl w:ilvl="8">
      <w:start w:val="1"/>
      <w:numFmt w:val="none"/>
      <w:lvlText w:val=""/>
      <w:lvlJc w:val="left"/>
      <w:pPr>
        <w:ind w:left="1021" w:firstLine="0"/>
      </w:pPr>
      <w:rPr>
        <w:rFonts w:hint="default"/>
      </w:rPr>
    </w:lvl>
  </w:abstractNum>
  <w:abstractNum w:abstractNumId="10" w15:restartNumberingAfterBreak="0">
    <w:nsid w:val="5354128B"/>
    <w:multiLevelType w:val="multilevel"/>
    <w:tmpl w:val="0809001D"/>
    <w:styleLink w:val="Annex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4EF601B"/>
    <w:multiLevelType w:val="multilevel"/>
    <w:tmpl w:val="4B5A14BA"/>
    <w:styleLink w:val="ListNumbers"/>
    <w:lvl w:ilvl="0">
      <w:start w:val="1"/>
      <w:numFmt w:val="decimal"/>
      <w:lvlRestart w:val="0"/>
      <w:pStyle w:val="ListNumber"/>
      <w:lvlText w:val="%1."/>
      <w:lvlJc w:val="left"/>
      <w:pPr>
        <w:ind w:left="340" w:hanging="340"/>
      </w:pPr>
      <w:rPr>
        <w:rFonts w:hint="default"/>
        <w:color w:val="00A2E0" w:themeColor="accent2"/>
      </w:rPr>
    </w:lvl>
    <w:lvl w:ilvl="1">
      <w:start w:val="1"/>
      <w:numFmt w:val="decimal"/>
      <w:lvlText w:val="%1.%2"/>
      <w:lvlJc w:val="left"/>
      <w:pPr>
        <w:ind w:left="794" w:hanging="454"/>
      </w:pPr>
      <w:rPr>
        <w:rFonts w:hint="default"/>
        <w:color w:val="00A2E0" w:themeColor="accent2"/>
      </w:rPr>
    </w:lvl>
    <w:lvl w:ilvl="2">
      <w:start w:val="1"/>
      <w:numFmt w:val="decimal"/>
      <w:lvlText w:val="%1.%2.%3"/>
      <w:lvlJc w:val="left"/>
      <w:pPr>
        <w:ind w:left="1361" w:hanging="567"/>
      </w:pPr>
      <w:rPr>
        <w:rFonts w:hint="default"/>
        <w:color w:val="00A2E0" w:themeColor="accent2"/>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ind w:left="1021" w:firstLine="0"/>
      </w:pPr>
      <w:rPr>
        <w:rFonts w:hint="default"/>
      </w:rPr>
    </w:lvl>
  </w:abstractNum>
  <w:abstractNum w:abstractNumId="12" w15:restartNumberingAfterBreak="0">
    <w:nsid w:val="6B684A40"/>
    <w:multiLevelType w:val="multilevel"/>
    <w:tmpl w:val="DCC29FFA"/>
    <w:styleLink w:val="ListHeading1LightBlue"/>
    <w:lvl w:ilvl="0">
      <w:start w:val="1"/>
      <w:numFmt w:val="decimal"/>
      <w:suff w:val="space"/>
      <w:lvlText w:val="%1."/>
      <w:lvlJc w:val="left"/>
      <w:pPr>
        <w:ind w:left="284" w:hanging="284"/>
      </w:pPr>
      <w:rPr>
        <w:rFonts w:asciiTheme="majorHAnsi" w:hAnsiTheme="majorHAnsi" w:hint="default"/>
        <w:color w:val="00A2E0" w:themeColor="accent2"/>
        <w:sz w:val="52"/>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1800"/>
      </w:pPr>
      <w:rPr>
        <w:rFonts w:hint="default"/>
      </w:rPr>
    </w:lvl>
    <w:lvl w:ilvl="6">
      <w:start w:val="1"/>
      <w:numFmt w:val="none"/>
      <w:suff w:val="space"/>
      <w:lvlText w:val=""/>
      <w:lvlJc w:val="left"/>
      <w:pPr>
        <w:ind w:left="0" w:hanging="32767"/>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3" w15:restartNumberingAfterBreak="0">
    <w:nsid w:val="70694E31"/>
    <w:multiLevelType w:val="hybridMultilevel"/>
    <w:tmpl w:val="C516559C"/>
    <w:lvl w:ilvl="0" w:tplc="B0F2CFDA">
      <w:start w:val="1"/>
      <w:numFmt w:val="bullet"/>
      <w:lvlText w:val="•"/>
      <w:lvlJc w:val="left"/>
      <w:pPr>
        <w:tabs>
          <w:tab w:val="num" w:pos="720"/>
        </w:tabs>
        <w:ind w:left="720" w:hanging="360"/>
      </w:pPr>
      <w:rPr>
        <w:rFonts w:ascii="Arial" w:hAnsi="Arial" w:hint="default"/>
      </w:rPr>
    </w:lvl>
    <w:lvl w:ilvl="1" w:tplc="99A4B612" w:tentative="1">
      <w:start w:val="1"/>
      <w:numFmt w:val="bullet"/>
      <w:lvlText w:val="•"/>
      <w:lvlJc w:val="left"/>
      <w:pPr>
        <w:tabs>
          <w:tab w:val="num" w:pos="1440"/>
        </w:tabs>
        <w:ind w:left="1440" w:hanging="360"/>
      </w:pPr>
      <w:rPr>
        <w:rFonts w:ascii="Arial" w:hAnsi="Arial" w:hint="default"/>
      </w:rPr>
    </w:lvl>
    <w:lvl w:ilvl="2" w:tplc="6EE24FF4" w:tentative="1">
      <w:start w:val="1"/>
      <w:numFmt w:val="bullet"/>
      <w:lvlText w:val="•"/>
      <w:lvlJc w:val="left"/>
      <w:pPr>
        <w:tabs>
          <w:tab w:val="num" w:pos="2160"/>
        </w:tabs>
        <w:ind w:left="2160" w:hanging="360"/>
      </w:pPr>
      <w:rPr>
        <w:rFonts w:ascii="Arial" w:hAnsi="Arial" w:hint="default"/>
      </w:rPr>
    </w:lvl>
    <w:lvl w:ilvl="3" w:tplc="BA0CD60E" w:tentative="1">
      <w:start w:val="1"/>
      <w:numFmt w:val="bullet"/>
      <w:lvlText w:val="•"/>
      <w:lvlJc w:val="left"/>
      <w:pPr>
        <w:tabs>
          <w:tab w:val="num" w:pos="2880"/>
        </w:tabs>
        <w:ind w:left="2880" w:hanging="360"/>
      </w:pPr>
      <w:rPr>
        <w:rFonts w:ascii="Arial" w:hAnsi="Arial" w:hint="default"/>
      </w:rPr>
    </w:lvl>
    <w:lvl w:ilvl="4" w:tplc="57967A32" w:tentative="1">
      <w:start w:val="1"/>
      <w:numFmt w:val="bullet"/>
      <w:lvlText w:val="•"/>
      <w:lvlJc w:val="left"/>
      <w:pPr>
        <w:tabs>
          <w:tab w:val="num" w:pos="3600"/>
        </w:tabs>
        <w:ind w:left="3600" w:hanging="360"/>
      </w:pPr>
      <w:rPr>
        <w:rFonts w:ascii="Arial" w:hAnsi="Arial" w:hint="default"/>
      </w:rPr>
    </w:lvl>
    <w:lvl w:ilvl="5" w:tplc="5F5CBFA0" w:tentative="1">
      <w:start w:val="1"/>
      <w:numFmt w:val="bullet"/>
      <w:lvlText w:val="•"/>
      <w:lvlJc w:val="left"/>
      <w:pPr>
        <w:tabs>
          <w:tab w:val="num" w:pos="4320"/>
        </w:tabs>
        <w:ind w:left="4320" w:hanging="360"/>
      </w:pPr>
      <w:rPr>
        <w:rFonts w:ascii="Arial" w:hAnsi="Arial" w:hint="default"/>
      </w:rPr>
    </w:lvl>
    <w:lvl w:ilvl="6" w:tplc="FBC2FDF8" w:tentative="1">
      <w:start w:val="1"/>
      <w:numFmt w:val="bullet"/>
      <w:lvlText w:val="•"/>
      <w:lvlJc w:val="left"/>
      <w:pPr>
        <w:tabs>
          <w:tab w:val="num" w:pos="5040"/>
        </w:tabs>
        <w:ind w:left="5040" w:hanging="360"/>
      </w:pPr>
      <w:rPr>
        <w:rFonts w:ascii="Arial" w:hAnsi="Arial" w:hint="default"/>
      </w:rPr>
    </w:lvl>
    <w:lvl w:ilvl="7" w:tplc="DABE2F30" w:tentative="1">
      <w:start w:val="1"/>
      <w:numFmt w:val="bullet"/>
      <w:lvlText w:val="•"/>
      <w:lvlJc w:val="left"/>
      <w:pPr>
        <w:tabs>
          <w:tab w:val="num" w:pos="5760"/>
        </w:tabs>
        <w:ind w:left="5760" w:hanging="360"/>
      </w:pPr>
      <w:rPr>
        <w:rFonts w:ascii="Arial" w:hAnsi="Arial" w:hint="default"/>
      </w:rPr>
    </w:lvl>
    <w:lvl w:ilvl="8" w:tplc="92A67A9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2144C29"/>
    <w:multiLevelType w:val="multilevel"/>
    <w:tmpl w:val="DAA0AF14"/>
    <w:styleLink w:val="AnnexHeading"/>
    <w:lvl w:ilvl="0">
      <w:start w:val="1"/>
      <w:numFmt w:val="decimal"/>
      <w:suff w:val="space"/>
      <w:lvlText w:val="Annex %1"/>
      <w:lvlJc w:val="left"/>
      <w:pPr>
        <w:ind w:left="0" w:firstLine="0"/>
      </w:pPr>
      <w:rPr>
        <w:rFonts w:asciiTheme="majorHAnsi" w:hAnsiTheme="majorHAnsi" w:hint="default"/>
        <w:color w:val="FFFFFF" w:themeColor="background1"/>
        <w:sz w:val="40"/>
      </w:rPr>
    </w:lvl>
    <w:lvl w:ilvl="1">
      <w:start w:val="1"/>
      <w:numFmt w:val="none"/>
      <w:pStyle w:val="AnnexHeading2"/>
      <w:lvlText w:val=""/>
      <w:lvlJc w:val="left"/>
      <w:pPr>
        <w:ind w:left="0" w:firstLine="0"/>
      </w:pPr>
      <w:rPr>
        <w:rFonts w:hint="default"/>
      </w:rPr>
    </w:lvl>
    <w:lvl w:ilvl="2">
      <w:start w:val="1"/>
      <w:numFmt w:val="none"/>
      <w:pStyle w:val="AnnexHeading3"/>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73ED2E77"/>
    <w:multiLevelType w:val="hybridMultilevel"/>
    <w:tmpl w:val="00E4789A"/>
    <w:lvl w:ilvl="0" w:tplc="2C8450D8">
      <w:start w:val="1"/>
      <w:numFmt w:val="bullet"/>
      <w:pStyle w:val="TableBullets"/>
      <w:lvlText w:val=""/>
      <w:lvlJc w:val="left"/>
      <w:pPr>
        <w:ind w:left="360" w:hanging="360"/>
      </w:pPr>
      <w:rPr>
        <w:rFonts w:ascii="Symbol" w:hAnsi="Symbol" w:hint="default"/>
        <w:color w:val="00A2E0" w:themeColor="accent2"/>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5007856">
    <w:abstractNumId w:val="14"/>
  </w:num>
  <w:num w:numId="2" w16cid:durableId="1773013034">
    <w:abstractNumId w:val="10"/>
  </w:num>
  <w:num w:numId="3" w16cid:durableId="1614436431">
    <w:abstractNumId w:val="9"/>
  </w:num>
  <w:num w:numId="4" w16cid:durableId="662316648">
    <w:abstractNumId w:val="12"/>
  </w:num>
  <w:num w:numId="5" w16cid:durableId="770971061">
    <w:abstractNumId w:val="7"/>
  </w:num>
  <w:num w:numId="6" w16cid:durableId="2049065304">
    <w:abstractNumId w:val="11"/>
  </w:num>
  <w:num w:numId="7" w16cid:durableId="24601382">
    <w:abstractNumId w:val="1"/>
  </w:num>
  <w:num w:numId="8" w16cid:durableId="2100788460">
    <w:abstractNumId w:val="8"/>
  </w:num>
  <w:num w:numId="9" w16cid:durableId="880090897">
    <w:abstractNumId w:val="2"/>
  </w:num>
  <w:num w:numId="10" w16cid:durableId="23798827">
    <w:abstractNumId w:val="2"/>
  </w:num>
  <w:num w:numId="11" w16cid:durableId="817455218">
    <w:abstractNumId w:val="4"/>
  </w:num>
  <w:num w:numId="12" w16cid:durableId="810026926">
    <w:abstractNumId w:val="0"/>
  </w:num>
  <w:num w:numId="13" w16cid:durableId="1085808743">
    <w:abstractNumId w:val="3"/>
  </w:num>
  <w:num w:numId="14" w16cid:durableId="1462454414">
    <w:abstractNumId w:val="6"/>
  </w:num>
  <w:num w:numId="15" w16cid:durableId="866404209">
    <w:abstractNumId w:val="8"/>
  </w:num>
  <w:num w:numId="16" w16cid:durableId="109518828">
    <w:abstractNumId w:val="15"/>
  </w:num>
  <w:num w:numId="17" w16cid:durableId="2118596610">
    <w:abstractNumId w:val="5"/>
  </w:num>
  <w:num w:numId="18" w16cid:durableId="60905291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3B2"/>
    <w:rsid w:val="00006DD8"/>
    <w:rsid w:val="00012EFE"/>
    <w:rsid w:val="000303E1"/>
    <w:rsid w:val="000418FD"/>
    <w:rsid w:val="000463A5"/>
    <w:rsid w:val="0005168B"/>
    <w:rsid w:val="000A7429"/>
    <w:rsid w:val="00190407"/>
    <w:rsid w:val="001C7AA5"/>
    <w:rsid w:val="001E4DF6"/>
    <w:rsid w:val="001F0B74"/>
    <w:rsid w:val="001F6AC5"/>
    <w:rsid w:val="00200E2E"/>
    <w:rsid w:val="00201722"/>
    <w:rsid w:val="0021215B"/>
    <w:rsid w:val="00222428"/>
    <w:rsid w:val="002617AD"/>
    <w:rsid w:val="002E3041"/>
    <w:rsid w:val="003042EF"/>
    <w:rsid w:val="00310BCF"/>
    <w:rsid w:val="0033768C"/>
    <w:rsid w:val="00377E54"/>
    <w:rsid w:val="0038480D"/>
    <w:rsid w:val="00395E5B"/>
    <w:rsid w:val="003C1A7B"/>
    <w:rsid w:val="0040791F"/>
    <w:rsid w:val="00414369"/>
    <w:rsid w:val="004251B3"/>
    <w:rsid w:val="004270A2"/>
    <w:rsid w:val="00480898"/>
    <w:rsid w:val="004A2490"/>
    <w:rsid w:val="004B028B"/>
    <w:rsid w:val="004D54F4"/>
    <w:rsid w:val="004D7DD5"/>
    <w:rsid w:val="00523976"/>
    <w:rsid w:val="005557E2"/>
    <w:rsid w:val="005B6659"/>
    <w:rsid w:val="005D6A1E"/>
    <w:rsid w:val="005D76E9"/>
    <w:rsid w:val="00617713"/>
    <w:rsid w:val="00642212"/>
    <w:rsid w:val="00642B7D"/>
    <w:rsid w:val="006A0D4D"/>
    <w:rsid w:val="00706ADC"/>
    <w:rsid w:val="00707870"/>
    <w:rsid w:val="007244CF"/>
    <w:rsid w:val="007751A1"/>
    <w:rsid w:val="00792FAB"/>
    <w:rsid w:val="007C4156"/>
    <w:rsid w:val="007D74BA"/>
    <w:rsid w:val="007E1DFD"/>
    <w:rsid w:val="00832B68"/>
    <w:rsid w:val="00843E97"/>
    <w:rsid w:val="008749E7"/>
    <w:rsid w:val="00884F3D"/>
    <w:rsid w:val="008A6F64"/>
    <w:rsid w:val="008E4C36"/>
    <w:rsid w:val="009A25F3"/>
    <w:rsid w:val="009D2B1A"/>
    <w:rsid w:val="009D4D1D"/>
    <w:rsid w:val="00A00AE6"/>
    <w:rsid w:val="00A234C1"/>
    <w:rsid w:val="00A47F3E"/>
    <w:rsid w:val="00A64D26"/>
    <w:rsid w:val="00A96B46"/>
    <w:rsid w:val="00AC240E"/>
    <w:rsid w:val="00AF1FE8"/>
    <w:rsid w:val="00AF3F3A"/>
    <w:rsid w:val="00B6744D"/>
    <w:rsid w:val="00B71466"/>
    <w:rsid w:val="00B80D8C"/>
    <w:rsid w:val="00BD3E40"/>
    <w:rsid w:val="00C13C18"/>
    <w:rsid w:val="00C16562"/>
    <w:rsid w:val="00C472AC"/>
    <w:rsid w:val="00CE2CBE"/>
    <w:rsid w:val="00D125A7"/>
    <w:rsid w:val="00D81B21"/>
    <w:rsid w:val="00D8681C"/>
    <w:rsid w:val="00DB13B2"/>
    <w:rsid w:val="00DB3175"/>
    <w:rsid w:val="00DB56F5"/>
    <w:rsid w:val="00DD607F"/>
    <w:rsid w:val="00E30B0E"/>
    <w:rsid w:val="00E52036"/>
    <w:rsid w:val="00E71884"/>
    <w:rsid w:val="00EA3051"/>
    <w:rsid w:val="00EB5D77"/>
    <w:rsid w:val="00EC5AAF"/>
    <w:rsid w:val="00EE3636"/>
    <w:rsid w:val="00F35FFF"/>
    <w:rsid w:val="00F43DC4"/>
    <w:rsid w:val="00FA15FB"/>
    <w:rsid w:val="00FA798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C531"/>
  <w15:chartTrackingRefBased/>
  <w15:docId w15:val="{3BD071C7-CC5F-48C2-A2D8-130C877B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9" w:unhideWhenUsed="1"/>
    <w:lsdException w:name="annotation text" w:semiHidden="1" w:unhideWhenUsed="1"/>
    <w:lsdException w:name="header" w:semiHidden="1" w:uiPriority="96"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0" w:unhideWhenUsed="1"/>
    <w:lsdException w:name="endnote reference" w:semiHidden="1" w:unhideWhenUsed="1"/>
    <w:lsdException w:name="endnote text" w:semiHidden="1" w:uiPriority="8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7"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3"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4" w:qFormat="1"/>
    <w:lsdException w:name="Salutation" w:semiHidden="1" w:unhideWhenUsed="1"/>
    <w:lsdException w:name="Date" w:semiHidden="1" w:uiPriority="77"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1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1" w:qFormat="1"/>
    <w:lsdException w:name="Intense Emphasis" w:uiPriority="21" w:qFormat="1"/>
    <w:lsdException w:name="Subtle Reference" w:uiPriority="15" w:qFormat="1"/>
    <w:lsdException w:name="Intense Reference" w:uiPriority="15" w:qFormat="1"/>
    <w:lsdException w:name="Book Title" w:uiPriority="15"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AA5"/>
    <w:pPr>
      <w:spacing w:after="120" w:line="240" w:lineRule="atLeast"/>
    </w:pPr>
    <w:rPr>
      <w:kern w:val="0"/>
      <w14:ligatures w14:val="none"/>
    </w:rPr>
  </w:style>
  <w:style w:type="paragraph" w:styleId="Heading1">
    <w:name w:val="heading 1"/>
    <w:basedOn w:val="BaseHeading"/>
    <w:next w:val="BodyText"/>
    <w:link w:val="Heading1Char"/>
    <w:uiPriority w:val="4"/>
    <w:qFormat/>
    <w:rsid w:val="004D54F4"/>
    <w:pPr>
      <w:spacing w:after="180" w:line="216" w:lineRule="auto"/>
      <w:outlineLvl w:val="0"/>
    </w:pPr>
    <w:rPr>
      <w:rFonts w:eastAsiaTheme="majorEastAsia" w:cstheme="majorBidi"/>
      <w:color w:val="00A2E0" w:themeColor="accent2"/>
      <w:sz w:val="40"/>
      <w:szCs w:val="32"/>
    </w:rPr>
  </w:style>
  <w:style w:type="paragraph" w:styleId="Heading2">
    <w:name w:val="heading 2"/>
    <w:basedOn w:val="BaseHeading"/>
    <w:next w:val="BodyText"/>
    <w:link w:val="Heading2Char"/>
    <w:uiPriority w:val="4"/>
    <w:unhideWhenUsed/>
    <w:qFormat/>
    <w:rsid w:val="004D54F4"/>
    <w:pPr>
      <w:spacing w:after="180" w:line="216" w:lineRule="auto"/>
      <w:outlineLvl w:val="1"/>
    </w:pPr>
    <w:rPr>
      <w:rFonts w:eastAsiaTheme="majorEastAsia" w:cstheme="majorBidi"/>
      <w:color w:val="00A2E0" w:themeColor="accent2"/>
      <w:sz w:val="28"/>
      <w:szCs w:val="26"/>
    </w:rPr>
  </w:style>
  <w:style w:type="paragraph" w:styleId="Heading3">
    <w:name w:val="heading 3"/>
    <w:basedOn w:val="BaseHeading"/>
    <w:next w:val="BodyText"/>
    <w:link w:val="Heading3Char"/>
    <w:uiPriority w:val="4"/>
    <w:unhideWhenUsed/>
    <w:qFormat/>
    <w:rsid w:val="004D54F4"/>
    <w:pPr>
      <w:spacing w:line="288" w:lineRule="auto"/>
      <w:outlineLvl w:val="2"/>
    </w:pPr>
    <w:rPr>
      <w:rFonts w:ascii="Arial Black" w:eastAsiaTheme="majorEastAsia" w:hAnsi="Arial Black" w:cstheme="majorBidi"/>
      <w:sz w:val="18"/>
      <w:szCs w:val="24"/>
    </w:rPr>
  </w:style>
  <w:style w:type="paragraph" w:styleId="Heading4">
    <w:name w:val="heading 4"/>
    <w:basedOn w:val="BaseHeading"/>
    <w:next w:val="BodyText"/>
    <w:link w:val="Heading4Char"/>
    <w:uiPriority w:val="4"/>
    <w:semiHidden/>
    <w:qFormat/>
    <w:rsid w:val="004D54F4"/>
    <w:pPr>
      <w:spacing w:before="40"/>
      <w:outlineLvl w:val="3"/>
    </w:pPr>
    <w:rPr>
      <w:rFonts w:eastAsiaTheme="majorEastAsia" w:cstheme="majorBidi"/>
      <w:i/>
      <w:iCs/>
    </w:rPr>
  </w:style>
  <w:style w:type="paragraph" w:styleId="Heading5">
    <w:name w:val="heading 5"/>
    <w:basedOn w:val="BaseHeading"/>
    <w:next w:val="BodyText"/>
    <w:link w:val="Heading5Char"/>
    <w:uiPriority w:val="4"/>
    <w:semiHidden/>
    <w:qFormat/>
    <w:rsid w:val="004D54F4"/>
    <w:pPr>
      <w:spacing w:before="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DB3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4D54F4"/>
    <w:rPr>
      <w:rFonts w:asciiTheme="majorHAnsi" w:eastAsiaTheme="majorEastAsia" w:hAnsiTheme="majorHAnsi" w:cstheme="majorBidi"/>
      <w:color w:val="00A2E0" w:themeColor="accent2"/>
      <w:kern w:val="0"/>
      <w:sz w:val="40"/>
      <w:szCs w:val="32"/>
      <w14:ligatures w14:val="none"/>
    </w:rPr>
  </w:style>
  <w:style w:type="character" w:customStyle="1" w:styleId="Heading2Char">
    <w:name w:val="Heading 2 Char"/>
    <w:basedOn w:val="DefaultParagraphFont"/>
    <w:link w:val="Heading2"/>
    <w:uiPriority w:val="4"/>
    <w:rsid w:val="004D54F4"/>
    <w:rPr>
      <w:rFonts w:asciiTheme="majorHAnsi" w:eastAsiaTheme="majorEastAsia" w:hAnsiTheme="majorHAnsi" w:cstheme="majorBidi"/>
      <w:color w:val="00A2E0" w:themeColor="accent2"/>
      <w:kern w:val="0"/>
      <w:sz w:val="28"/>
      <w:szCs w:val="26"/>
      <w14:ligatures w14:val="none"/>
    </w:rPr>
  </w:style>
  <w:style w:type="character" w:customStyle="1" w:styleId="Heading3Char">
    <w:name w:val="Heading 3 Char"/>
    <w:basedOn w:val="DefaultParagraphFont"/>
    <w:link w:val="Heading3"/>
    <w:uiPriority w:val="4"/>
    <w:rsid w:val="004D54F4"/>
    <w:rPr>
      <w:rFonts w:ascii="Arial Black" w:eastAsiaTheme="majorEastAsia" w:hAnsi="Arial Black" w:cstheme="majorBidi"/>
      <w:color w:val="06357A" w:themeColor="accent1"/>
      <w:kern w:val="0"/>
      <w:sz w:val="18"/>
      <w:szCs w:val="24"/>
      <w14:ligatures w14:val="none"/>
    </w:rPr>
  </w:style>
  <w:style w:type="character" w:customStyle="1" w:styleId="Heading4Char">
    <w:name w:val="Heading 4 Char"/>
    <w:basedOn w:val="DefaultParagraphFont"/>
    <w:link w:val="Heading4"/>
    <w:uiPriority w:val="4"/>
    <w:semiHidden/>
    <w:rsid w:val="004D54F4"/>
    <w:rPr>
      <w:rFonts w:asciiTheme="majorHAnsi" w:eastAsiaTheme="majorEastAsia" w:hAnsiTheme="majorHAnsi" w:cstheme="majorBidi"/>
      <w:i/>
      <w:iCs/>
      <w:color w:val="06357A" w:themeColor="accent1"/>
      <w:kern w:val="0"/>
      <w14:ligatures w14:val="none"/>
    </w:rPr>
  </w:style>
  <w:style w:type="character" w:customStyle="1" w:styleId="Heading5Char">
    <w:name w:val="Heading 5 Char"/>
    <w:basedOn w:val="DefaultParagraphFont"/>
    <w:link w:val="Heading5"/>
    <w:uiPriority w:val="4"/>
    <w:semiHidden/>
    <w:rsid w:val="004D54F4"/>
    <w:rPr>
      <w:rFonts w:asciiTheme="majorHAnsi" w:eastAsiaTheme="majorEastAsia" w:hAnsiTheme="majorHAnsi" w:cstheme="majorBidi"/>
      <w:color w:val="06357A" w:themeColor="accent1"/>
      <w:kern w:val="0"/>
      <w14:ligatures w14:val="none"/>
    </w:rPr>
  </w:style>
  <w:style w:type="character" w:customStyle="1" w:styleId="Heading6Char">
    <w:name w:val="Heading 6 Char"/>
    <w:basedOn w:val="DefaultParagraphFont"/>
    <w:link w:val="Heading6"/>
    <w:uiPriority w:val="9"/>
    <w:semiHidden/>
    <w:rsid w:val="00DB3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175"/>
    <w:rPr>
      <w:rFonts w:eastAsiaTheme="majorEastAsia" w:cstheme="majorBidi"/>
      <w:color w:val="272727" w:themeColor="text1" w:themeTint="D8"/>
    </w:rPr>
  </w:style>
  <w:style w:type="paragraph" w:styleId="Title">
    <w:name w:val="Title"/>
    <w:aliases w:val="Title (White)"/>
    <w:basedOn w:val="BaseHeading"/>
    <w:next w:val="Subtitle"/>
    <w:link w:val="TitleChar"/>
    <w:uiPriority w:val="33"/>
    <w:rsid w:val="004D54F4"/>
    <w:pPr>
      <w:spacing w:line="240" w:lineRule="auto"/>
      <w:contextualSpacing/>
    </w:pPr>
    <w:rPr>
      <w:rFonts w:eastAsiaTheme="majorEastAsia" w:cstheme="majorBidi"/>
      <w:b/>
      <w:color w:val="FFFFFF" w:themeColor="background1"/>
      <w:sz w:val="56"/>
      <w:szCs w:val="56"/>
    </w:rPr>
  </w:style>
  <w:style w:type="character" w:customStyle="1" w:styleId="TitleChar">
    <w:name w:val="Title Char"/>
    <w:aliases w:val="Title (White) Char"/>
    <w:basedOn w:val="DefaultParagraphFont"/>
    <w:link w:val="Title"/>
    <w:uiPriority w:val="33"/>
    <w:rsid w:val="004D54F4"/>
    <w:rPr>
      <w:rFonts w:asciiTheme="majorHAnsi" w:eastAsiaTheme="majorEastAsia" w:hAnsiTheme="majorHAnsi" w:cstheme="majorBidi"/>
      <w:b/>
      <w:color w:val="FFFFFF" w:themeColor="background1"/>
      <w:kern w:val="0"/>
      <w:sz w:val="56"/>
      <w:szCs w:val="56"/>
      <w14:ligatures w14:val="none"/>
    </w:rPr>
  </w:style>
  <w:style w:type="paragraph" w:styleId="Subtitle">
    <w:name w:val="Subtitle"/>
    <w:aliases w:val="Subtitle (White)"/>
    <w:basedOn w:val="BaseHeading"/>
    <w:next w:val="BodyText"/>
    <w:link w:val="SubtitleChar"/>
    <w:uiPriority w:val="34"/>
    <w:rsid w:val="004D54F4"/>
    <w:pPr>
      <w:numPr>
        <w:ilvl w:val="1"/>
      </w:numPr>
      <w:spacing w:after="160"/>
    </w:pPr>
    <w:rPr>
      <w:rFonts w:eastAsiaTheme="minorEastAsia"/>
      <w:color w:val="FFFFFF" w:themeColor="background1"/>
      <w:sz w:val="44"/>
    </w:rPr>
  </w:style>
  <w:style w:type="character" w:customStyle="1" w:styleId="SubtitleChar">
    <w:name w:val="Subtitle Char"/>
    <w:aliases w:val="Subtitle (White) Char"/>
    <w:basedOn w:val="DefaultParagraphFont"/>
    <w:link w:val="Subtitle"/>
    <w:uiPriority w:val="34"/>
    <w:rsid w:val="004D54F4"/>
    <w:rPr>
      <w:rFonts w:asciiTheme="majorHAnsi" w:eastAsiaTheme="minorEastAsia" w:hAnsiTheme="majorHAnsi"/>
      <w:color w:val="FFFFFF" w:themeColor="background1"/>
      <w:kern w:val="0"/>
      <w:sz w:val="44"/>
      <w14:ligatures w14:val="none"/>
    </w:rPr>
  </w:style>
  <w:style w:type="paragraph" w:styleId="Quote">
    <w:name w:val="Quote"/>
    <w:aliases w:val="Quote (White)"/>
    <w:basedOn w:val="BodyText"/>
    <w:next w:val="QuoteSourceWhite"/>
    <w:link w:val="QuoteChar"/>
    <w:uiPriority w:val="29"/>
    <w:qFormat/>
    <w:rsid w:val="004D54F4"/>
    <w:pPr>
      <w:spacing w:after="180"/>
    </w:pPr>
    <w:rPr>
      <w:color w:val="FFFFFF" w:themeColor="background1"/>
      <w:sz w:val="36"/>
      <w:szCs w:val="28"/>
    </w:rPr>
  </w:style>
  <w:style w:type="character" w:customStyle="1" w:styleId="QuoteChar">
    <w:name w:val="Quote Char"/>
    <w:aliases w:val="Quote (White) Char"/>
    <w:basedOn w:val="DefaultParagraphFont"/>
    <w:link w:val="Quote"/>
    <w:uiPriority w:val="29"/>
    <w:rsid w:val="004D54F4"/>
    <w:rPr>
      <w:color w:val="FFFFFF" w:themeColor="background1"/>
      <w:kern w:val="0"/>
      <w:sz w:val="36"/>
      <w:szCs w:val="28"/>
      <w14:ligatures w14:val="none"/>
    </w:rPr>
  </w:style>
  <w:style w:type="paragraph" w:styleId="ListParagraph">
    <w:name w:val="List Paragraph"/>
    <w:basedOn w:val="Normal"/>
    <w:uiPriority w:val="34"/>
    <w:qFormat/>
    <w:rsid w:val="004D54F4"/>
    <w:pPr>
      <w:ind w:left="720"/>
      <w:contextualSpacing/>
    </w:pPr>
  </w:style>
  <w:style w:type="character" w:styleId="IntenseEmphasis">
    <w:name w:val="Intense Emphasis"/>
    <w:basedOn w:val="DefaultParagraphFont"/>
    <w:uiPriority w:val="21"/>
    <w:qFormat/>
    <w:rsid w:val="004D54F4"/>
    <w:rPr>
      <w:i/>
      <w:iCs/>
      <w:color w:val="06357A" w:themeColor="accent1"/>
    </w:rPr>
  </w:style>
  <w:style w:type="paragraph" w:styleId="IntenseQuote">
    <w:name w:val="Intense Quote"/>
    <w:basedOn w:val="Normal"/>
    <w:next w:val="Normal"/>
    <w:link w:val="IntenseQuoteChar"/>
    <w:uiPriority w:val="15"/>
    <w:qFormat/>
    <w:rsid w:val="004D54F4"/>
    <w:pPr>
      <w:pBdr>
        <w:top w:val="single" w:sz="4" w:space="10" w:color="06357A" w:themeColor="accent1"/>
        <w:bottom w:val="single" w:sz="4" w:space="10" w:color="06357A" w:themeColor="accent1"/>
      </w:pBdr>
      <w:spacing w:before="360" w:after="360"/>
      <w:ind w:left="864" w:right="864"/>
      <w:jc w:val="center"/>
    </w:pPr>
    <w:rPr>
      <w:i/>
      <w:iCs/>
      <w:color w:val="06357A" w:themeColor="accent1"/>
    </w:rPr>
  </w:style>
  <w:style w:type="character" w:customStyle="1" w:styleId="IntenseQuoteChar">
    <w:name w:val="Intense Quote Char"/>
    <w:basedOn w:val="DefaultParagraphFont"/>
    <w:link w:val="IntenseQuote"/>
    <w:uiPriority w:val="15"/>
    <w:rsid w:val="004D54F4"/>
    <w:rPr>
      <w:i/>
      <w:iCs/>
      <w:color w:val="06357A" w:themeColor="accent1"/>
      <w:kern w:val="0"/>
      <w14:ligatures w14:val="none"/>
    </w:rPr>
  </w:style>
  <w:style w:type="character" w:styleId="IntenseReference">
    <w:name w:val="Intense Reference"/>
    <w:basedOn w:val="DefaultParagraphFont"/>
    <w:uiPriority w:val="15"/>
    <w:qFormat/>
    <w:rsid w:val="004D54F4"/>
    <w:rPr>
      <w:b/>
      <w:bCs/>
      <w:smallCaps/>
      <w:color w:val="06357A" w:themeColor="accent1"/>
      <w:spacing w:val="5"/>
    </w:rPr>
  </w:style>
  <w:style w:type="paragraph" w:styleId="Header">
    <w:name w:val="header"/>
    <w:basedOn w:val="BaseText"/>
    <w:link w:val="HeaderChar"/>
    <w:uiPriority w:val="96"/>
    <w:rsid w:val="004D54F4"/>
    <w:pPr>
      <w:tabs>
        <w:tab w:val="center" w:pos="4513"/>
        <w:tab w:val="right" w:pos="9026"/>
      </w:tabs>
      <w:spacing w:line="240" w:lineRule="auto"/>
    </w:pPr>
  </w:style>
  <w:style w:type="character" w:customStyle="1" w:styleId="HeaderChar">
    <w:name w:val="Header Char"/>
    <w:basedOn w:val="DefaultParagraphFont"/>
    <w:link w:val="Header"/>
    <w:uiPriority w:val="96"/>
    <w:rsid w:val="004D54F4"/>
    <w:rPr>
      <w:kern w:val="0"/>
      <w:sz w:val="18"/>
      <w14:ligatures w14:val="none"/>
    </w:rPr>
  </w:style>
  <w:style w:type="paragraph" w:styleId="Footer">
    <w:name w:val="footer"/>
    <w:basedOn w:val="BaseText"/>
    <w:link w:val="FooterChar"/>
    <w:uiPriority w:val="98"/>
    <w:rsid w:val="004D54F4"/>
    <w:pPr>
      <w:tabs>
        <w:tab w:val="center" w:pos="4513"/>
        <w:tab w:val="right" w:pos="9026"/>
      </w:tabs>
      <w:spacing w:line="240" w:lineRule="auto"/>
    </w:pPr>
  </w:style>
  <w:style w:type="character" w:customStyle="1" w:styleId="FooterChar">
    <w:name w:val="Footer Char"/>
    <w:basedOn w:val="DefaultParagraphFont"/>
    <w:link w:val="Footer"/>
    <w:uiPriority w:val="98"/>
    <w:rsid w:val="004D54F4"/>
    <w:rPr>
      <w:kern w:val="0"/>
      <w:sz w:val="18"/>
      <w14:ligatures w14:val="none"/>
    </w:rPr>
  </w:style>
  <w:style w:type="paragraph" w:customStyle="1" w:styleId="BaseStyle">
    <w:name w:val="___Base Style"/>
    <w:uiPriority w:val="99"/>
    <w:semiHidden/>
    <w:rsid w:val="004D54F4"/>
    <w:pPr>
      <w:spacing w:after="0" w:line="252" w:lineRule="auto"/>
    </w:pPr>
    <w:rPr>
      <w:kern w:val="0"/>
      <w14:ligatures w14:val="none"/>
    </w:rPr>
  </w:style>
  <w:style w:type="paragraph" w:customStyle="1" w:styleId="BaseTable">
    <w:name w:val="___Base Table"/>
    <w:uiPriority w:val="99"/>
    <w:semiHidden/>
    <w:rsid w:val="004D54F4"/>
    <w:pPr>
      <w:spacing w:line="240" w:lineRule="atLeast"/>
    </w:pPr>
    <w:rPr>
      <w:kern w:val="0"/>
      <w14:ligatures w14:val="none"/>
    </w:rPr>
  </w:style>
  <w:style w:type="paragraph" w:customStyle="1" w:styleId="1ptspacer">
    <w:name w:val="__1pt spacer"/>
    <w:basedOn w:val="BaseStyle"/>
    <w:next w:val="BodyText"/>
    <w:uiPriority w:val="99"/>
    <w:rsid w:val="004D54F4"/>
    <w:pPr>
      <w:spacing w:line="20" w:lineRule="exact"/>
    </w:pPr>
    <w:rPr>
      <w:sz w:val="2"/>
    </w:rPr>
  </w:style>
  <w:style w:type="paragraph" w:styleId="BodyText">
    <w:name w:val="Body Text"/>
    <w:basedOn w:val="BaseText"/>
    <w:link w:val="BodyTextChar"/>
    <w:uiPriority w:val="6"/>
    <w:unhideWhenUsed/>
    <w:qFormat/>
    <w:rsid w:val="004D54F4"/>
    <w:pPr>
      <w:spacing w:after="240" w:line="288" w:lineRule="auto"/>
    </w:pPr>
    <w:rPr>
      <w:color w:val="4D4D4F" w:themeColor="text2"/>
    </w:rPr>
  </w:style>
  <w:style w:type="character" w:customStyle="1" w:styleId="BodyTextChar">
    <w:name w:val="Body Text Char"/>
    <w:basedOn w:val="DefaultParagraphFont"/>
    <w:link w:val="BodyText"/>
    <w:uiPriority w:val="6"/>
    <w:rsid w:val="004D54F4"/>
    <w:rPr>
      <w:color w:val="4D4D4F" w:themeColor="text2"/>
      <w:kern w:val="0"/>
      <w:sz w:val="18"/>
      <w14:ligatures w14:val="none"/>
    </w:rPr>
  </w:style>
  <w:style w:type="paragraph" w:customStyle="1" w:styleId="AnchorTop">
    <w:name w:val="__Anchor Top"/>
    <w:basedOn w:val="1ptspacer"/>
    <w:next w:val="BodyText"/>
    <w:uiPriority w:val="99"/>
    <w:semiHidden/>
    <w:rsid w:val="004D54F4"/>
  </w:style>
  <w:style w:type="paragraph" w:customStyle="1" w:styleId="AnchorBottom">
    <w:name w:val="__Anchor Bottom"/>
    <w:basedOn w:val="AnchorTop"/>
    <w:next w:val="BodyText"/>
    <w:uiPriority w:val="99"/>
    <w:semiHidden/>
    <w:rsid w:val="004D54F4"/>
  </w:style>
  <w:style w:type="numbering" w:customStyle="1" w:styleId="AnnexHeading">
    <w:name w:val="__Annex Heading"/>
    <w:uiPriority w:val="99"/>
    <w:rsid w:val="004D54F4"/>
    <w:pPr>
      <w:numPr>
        <w:numId w:val="1"/>
      </w:numPr>
    </w:pPr>
  </w:style>
  <w:style w:type="numbering" w:customStyle="1" w:styleId="AnnexHeadings">
    <w:name w:val="__Annex Headings"/>
    <w:uiPriority w:val="99"/>
    <w:rsid w:val="004D54F4"/>
    <w:pPr>
      <w:numPr>
        <w:numId w:val="2"/>
      </w:numPr>
    </w:pPr>
  </w:style>
  <w:style w:type="paragraph" w:customStyle="1" w:styleId="BaseHeading">
    <w:name w:val="__Base Heading"/>
    <w:basedOn w:val="BaseStyle"/>
    <w:next w:val="BodyText"/>
    <w:uiPriority w:val="99"/>
    <w:semiHidden/>
    <w:rsid w:val="004D54F4"/>
    <w:pPr>
      <w:keepNext/>
      <w:keepLines/>
    </w:pPr>
    <w:rPr>
      <w:rFonts w:asciiTheme="majorHAnsi" w:hAnsiTheme="majorHAnsi"/>
      <w:color w:val="06357A" w:themeColor="accent1"/>
    </w:rPr>
  </w:style>
  <w:style w:type="paragraph" w:customStyle="1" w:styleId="BaseText">
    <w:name w:val="__Base Text"/>
    <w:basedOn w:val="BaseStyle"/>
    <w:uiPriority w:val="99"/>
    <w:semiHidden/>
    <w:rsid w:val="004D54F4"/>
    <w:rPr>
      <w:sz w:val="18"/>
    </w:rPr>
  </w:style>
  <w:style w:type="paragraph" w:customStyle="1" w:styleId="BaseSECTION">
    <w:name w:val="__Base SECTION"/>
    <w:basedOn w:val="BaseText"/>
    <w:next w:val="BodyText"/>
    <w:uiPriority w:val="99"/>
    <w:semiHidden/>
    <w:rsid w:val="004D54F4"/>
    <w:pPr>
      <w:spacing w:line="160" w:lineRule="exact"/>
    </w:pPr>
    <w:rPr>
      <w:color w:val="0000FF"/>
      <w:sz w:val="16"/>
      <w:szCs w:val="20"/>
    </w:rPr>
  </w:style>
  <w:style w:type="paragraph" w:customStyle="1" w:styleId="TableText">
    <w:name w:val="Table Text"/>
    <w:basedOn w:val="BaseTable"/>
    <w:uiPriority w:val="8"/>
    <w:qFormat/>
    <w:rsid w:val="004D54F4"/>
    <w:pPr>
      <w:spacing w:before="60" w:after="60" w:line="216" w:lineRule="auto"/>
    </w:pPr>
    <w:rPr>
      <w:sz w:val="18"/>
    </w:rPr>
  </w:style>
  <w:style w:type="paragraph" w:customStyle="1" w:styleId="LinkedPH">
    <w:name w:val="__Linked PH"/>
    <w:basedOn w:val="TableText"/>
    <w:uiPriority w:val="99"/>
    <w:semiHidden/>
    <w:rsid w:val="004D54F4"/>
    <w:pPr>
      <w:spacing w:before="120" w:after="0" w:line="20" w:lineRule="exact"/>
      <w:ind w:right="113"/>
    </w:pPr>
    <w:rPr>
      <w:sz w:val="2"/>
      <w:szCs w:val="20"/>
    </w:rPr>
  </w:style>
  <w:style w:type="numbering" w:customStyle="1" w:styleId="ListBullets">
    <w:name w:val="__List Bullets"/>
    <w:rsid w:val="004D54F4"/>
    <w:pPr>
      <w:numPr>
        <w:numId w:val="3"/>
      </w:numPr>
    </w:pPr>
  </w:style>
  <w:style w:type="numbering" w:customStyle="1" w:styleId="ListHeading1LightBlue">
    <w:name w:val="__List Heading 1 (Light Blue)"/>
    <w:uiPriority w:val="99"/>
    <w:rsid w:val="004D54F4"/>
    <w:pPr>
      <w:numPr>
        <w:numId w:val="4"/>
      </w:numPr>
    </w:pPr>
  </w:style>
  <w:style w:type="numbering" w:customStyle="1" w:styleId="ListHeadings">
    <w:name w:val="__List Headings"/>
    <w:rsid w:val="004D54F4"/>
    <w:pPr>
      <w:numPr>
        <w:numId w:val="5"/>
      </w:numPr>
    </w:pPr>
  </w:style>
  <w:style w:type="numbering" w:customStyle="1" w:styleId="ListNumbers">
    <w:name w:val="__List Numbers"/>
    <w:rsid w:val="004D54F4"/>
    <w:pPr>
      <w:numPr>
        <w:numId w:val="6"/>
      </w:numPr>
    </w:pPr>
  </w:style>
  <w:style w:type="numbering" w:customStyle="1" w:styleId="NotesBullet">
    <w:name w:val="__Notes Bullet"/>
    <w:uiPriority w:val="99"/>
    <w:rsid w:val="004D54F4"/>
    <w:pPr>
      <w:numPr>
        <w:numId w:val="7"/>
      </w:numPr>
    </w:pPr>
  </w:style>
  <w:style w:type="numbering" w:customStyle="1" w:styleId="NotesNumber">
    <w:name w:val="__Notes Number"/>
    <w:uiPriority w:val="99"/>
    <w:rsid w:val="004D54F4"/>
    <w:pPr>
      <w:numPr>
        <w:numId w:val="8"/>
      </w:numPr>
    </w:pPr>
  </w:style>
  <w:style w:type="paragraph" w:customStyle="1" w:styleId="Placeholder">
    <w:name w:val="__Placeholder"/>
    <w:basedOn w:val="BaseText"/>
    <w:next w:val="BodyText"/>
    <w:uiPriority w:val="99"/>
    <w:semiHidden/>
    <w:rsid w:val="004D54F4"/>
    <w:pPr>
      <w:spacing w:line="240" w:lineRule="auto"/>
      <w:jc w:val="center"/>
    </w:pPr>
  </w:style>
  <w:style w:type="paragraph" w:customStyle="1" w:styleId="SECTION2Column">
    <w:name w:val="__SECTION 2Column"/>
    <w:basedOn w:val="BaseSECTION"/>
    <w:next w:val="BodyText"/>
    <w:uiPriority w:val="99"/>
    <w:semiHidden/>
    <w:rsid w:val="004D54F4"/>
  </w:style>
  <w:style w:type="paragraph" w:customStyle="1" w:styleId="SECTION3Column">
    <w:name w:val="__SECTION 3Column"/>
    <w:basedOn w:val="BaseSECTION"/>
    <w:next w:val="BodyText"/>
    <w:uiPriority w:val="99"/>
    <w:semiHidden/>
    <w:rsid w:val="004D54F4"/>
  </w:style>
  <w:style w:type="paragraph" w:customStyle="1" w:styleId="SECTION4Column">
    <w:name w:val="__SECTION 4Column"/>
    <w:basedOn w:val="BaseSECTION"/>
    <w:next w:val="BodyText"/>
    <w:uiPriority w:val="99"/>
    <w:semiHidden/>
    <w:rsid w:val="004D54F4"/>
  </w:style>
  <w:style w:type="paragraph" w:customStyle="1" w:styleId="SECTIONBackCover">
    <w:name w:val="__SECTION BackCover"/>
    <w:basedOn w:val="BaseSECTION"/>
    <w:next w:val="BodyText"/>
    <w:uiPriority w:val="99"/>
    <w:semiHidden/>
    <w:rsid w:val="004D54F4"/>
  </w:style>
  <w:style w:type="paragraph" w:customStyle="1" w:styleId="SECTIONCover">
    <w:name w:val="__SECTION Cover"/>
    <w:basedOn w:val="BaseSECTION"/>
    <w:next w:val="BodyText"/>
    <w:uiPriority w:val="99"/>
    <w:semiHidden/>
    <w:rsid w:val="004D54F4"/>
  </w:style>
  <w:style w:type="paragraph" w:customStyle="1" w:styleId="SECTIONDivider">
    <w:name w:val="__SECTION Divider"/>
    <w:basedOn w:val="BaseSECTION"/>
    <w:next w:val="BodyText"/>
    <w:uiPriority w:val="99"/>
    <w:semiHidden/>
    <w:rsid w:val="004D54F4"/>
  </w:style>
  <w:style w:type="paragraph" w:customStyle="1" w:styleId="SECTIONFullWidth">
    <w:name w:val="__SECTION FullWidth"/>
    <w:basedOn w:val="BaseSECTION"/>
    <w:next w:val="BodyText"/>
    <w:uiPriority w:val="99"/>
    <w:semiHidden/>
    <w:rsid w:val="004D54F4"/>
  </w:style>
  <w:style w:type="paragraph" w:customStyle="1" w:styleId="SECTIONLandscape">
    <w:name w:val="__SECTION Landscape"/>
    <w:basedOn w:val="BaseSECTION"/>
    <w:next w:val="BodyText"/>
    <w:uiPriority w:val="99"/>
    <w:semiHidden/>
    <w:rsid w:val="004D54F4"/>
  </w:style>
  <w:style w:type="paragraph" w:customStyle="1" w:styleId="SECTIONMargin">
    <w:name w:val="__SECTION Margin"/>
    <w:basedOn w:val="BaseSECTION"/>
    <w:next w:val="BodyText"/>
    <w:uiPriority w:val="99"/>
    <w:semiHidden/>
    <w:rsid w:val="004D54F4"/>
  </w:style>
  <w:style w:type="paragraph" w:customStyle="1" w:styleId="SECTIONToC">
    <w:name w:val="__SECTION ToC"/>
    <w:basedOn w:val="BaseSECTION"/>
    <w:next w:val="BodyText"/>
    <w:uiPriority w:val="99"/>
    <w:semiHidden/>
    <w:rsid w:val="004D54F4"/>
  </w:style>
  <w:style w:type="paragraph" w:customStyle="1" w:styleId="TableSpaceAfter">
    <w:name w:val="__TableSpaceAfter"/>
    <w:basedOn w:val="BaseStyle"/>
    <w:next w:val="BodyText"/>
    <w:uiPriority w:val="99"/>
    <w:semiHidden/>
    <w:rsid w:val="004D54F4"/>
    <w:pPr>
      <w:spacing w:line="20" w:lineRule="exact"/>
    </w:pPr>
    <w:rPr>
      <w:sz w:val="2"/>
    </w:rPr>
  </w:style>
  <w:style w:type="paragraph" w:customStyle="1" w:styleId="TableSpaceBefore">
    <w:name w:val="__TableSpaceBefore"/>
    <w:basedOn w:val="BaseStyle"/>
    <w:next w:val="BodyText"/>
    <w:uiPriority w:val="99"/>
    <w:semiHidden/>
    <w:rsid w:val="004D54F4"/>
    <w:pPr>
      <w:spacing w:line="20" w:lineRule="exact"/>
    </w:pPr>
    <w:rPr>
      <w:sz w:val="2"/>
    </w:rPr>
  </w:style>
  <w:style w:type="character" w:customStyle="1" w:styleId="Accent1">
    <w:name w:val="Accent 1"/>
    <w:basedOn w:val="DefaultParagraphFont"/>
    <w:uiPriority w:val="36"/>
    <w:semiHidden/>
    <w:qFormat/>
    <w:rsid w:val="004D54F4"/>
    <w:rPr>
      <w:color w:val="06357A" w:themeColor="accent1"/>
    </w:rPr>
  </w:style>
  <w:style w:type="character" w:customStyle="1" w:styleId="Accent2">
    <w:name w:val="Accent 2"/>
    <w:basedOn w:val="DefaultParagraphFont"/>
    <w:uiPriority w:val="36"/>
    <w:semiHidden/>
    <w:qFormat/>
    <w:rsid w:val="004D54F4"/>
    <w:rPr>
      <w:color w:val="00A2E0" w:themeColor="accent2"/>
    </w:rPr>
  </w:style>
  <w:style w:type="character" w:customStyle="1" w:styleId="Accent3">
    <w:name w:val="Accent 3"/>
    <w:basedOn w:val="DefaultParagraphFont"/>
    <w:uiPriority w:val="36"/>
    <w:semiHidden/>
    <w:qFormat/>
    <w:rsid w:val="004D54F4"/>
    <w:rPr>
      <w:color w:val="98C6EC" w:themeColor="accent3"/>
    </w:rPr>
  </w:style>
  <w:style w:type="character" w:customStyle="1" w:styleId="Accent4">
    <w:name w:val="Accent 4"/>
    <w:basedOn w:val="DefaultParagraphFont"/>
    <w:uiPriority w:val="36"/>
    <w:semiHidden/>
    <w:qFormat/>
    <w:rsid w:val="004D54F4"/>
    <w:rPr>
      <w:color w:val="BEDCF4" w:themeColor="accent4"/>
    </w:rPr>
  </w:style>
  <w:style w:type="character" w:customStyle="1" w:styleId="Accent5">
    <w:name w:val="Accent 5"/>
    <w:basedOn w:val="DefaultParagraphFont"/>
    <w:uiPriority w:val="36"/>
    <w:semiHidden/>
    <w:qFormat/>
    <w:rsid w:val="004D54F4"/>
    <w:rPr>
      <w:color w:val="E2F0F6" w:themeColor="accent5"/>
    </w:rPr>
  </w:style>
  <w:style w:type="character" w:customStyle="1" w:styleId="Accent6">
    <w:name w:val="Accent 6"/>
    <w:basedOn w:val="DefaultParagraphFont"/>
    <w:uiPriority w:val="36"/>
    <w:semiHidden/>
    <w:qFormat/>
    <w:rsid w:val="004D54F4"/>
    <w:rPr>
      <w:color w:val="FFFFFF" w:themeColor="accent6"/>
    </w:rPr>
  </w:style>
  <w:style w:type="paragraph" w:customStyle="1" w:styleId="AnnexHeading2">
    <w:name w:val="Annex Heading 2"/>
    <w:basedOn w:val="Heading2"/>
    <w:next w:val="BodyText"/>
    <w:uiPriority w:val="38"/>
    <w:qFormat/>
    <w:rsid w:val="004D54F4"/>
    <w:pPr>
      <w:numPr>
        <w:ilvl w:val="1"/>
        <w:numId w:val="10"/>
      </w:numPr>
      <w:spacing w:before="60"/>
    </w:pPr>
  </w:style>
  <w:style w:type="paragraph" w:customStyle="1" w:styleId="AnnexHeading3">
    <w:name w:val="Annex Heading 3"/>
    <w:basedOn w:val="Heading3"/>
    <w:next w:val="BodyText"/>
    <w:uiPriority w:val="38"/>
    <w:qFormat/>
    <w:rsid w:val="004D54F4"/>
    <w:pPr>
      <w:numPr>
        <w:ilvl w:val="2"/>
        <w:numId w:val="10"/>
      </w:numPr>
    </w:pPr>
    <w:rPr>
      <w:b/>
    </w:rPr>
  </w:style>
  <w:style w:type="paragraph" w:customStyle="1" w:styleId="BackPageAddress">
    <w:name w:val="Back Page Address"/>
    <w:basedOn w:val="BaseText"/>
    <w:uiPriority w:val="79"/>
    <w:semiHidden/>
    <w:qFormat/>
    <w:rsid w:val="004D54F4"/>
    <w:rPr>
      <w:color w:val="FFFFFF" w:themeColor="background1"/>
      <w:sz w:val="24"/>
      <w:szCs w:val="20"/>
    </w:rPr>
  </w:style>
  <w:style w:type="paragraph" w:customStyle="1" w:styleId="BackPageHeading1">
    <w:name w:val="Back Page Heading 1"/>
    <w:basedOn w:val="BaseHeading"/>
    <w:next w:val="BackPageText"/>
    <w:uiPriority w:val="79"/>
    <w:semiHidden/>
    <w:qFormat/>
    <w:rsid w:val="004D54F4"/>
    <w:rPr>
      <w:b/>
      <w:bCs/>
      <w:sz w:val="24"/>
      <w:szCs w:val="24"/>
    </w:rPr>
  </w:style>
  <w:style w:type="paragraph" w:customStyle="1" w:styleId="BackPageHeading2">
    <w:name w:val="Back Page Heading 2"/>
    <w:basedOn w:val="BaseHeading"/>
    <w:next w:val="BackPageText"/>
    <w:uiPriority w:val="79"/>
    <w:semiHidden/>
    <w:qFormat/>
    <w:rsid w:val="004D54F4"/>
    <w:rPr>
      <w:b/>
      <w:bCs/>
    </w:rPr>
  </w:style>
  <w:style w:type="paragraph" w:customStyle="1" w:styleId="BackPageText">
    <w:name w:val="Back Page Text"/>
    <w:basedOn w:val="BaseText"/>
    <w:uiPriority w:val="79"/>
    <w:qFormat/>
    <w:rsid w:val="004D54F4"/>
    <w:pPr>
      <w:spacing w:before="180" w:line="360" w:lineRule="auto"/>
    </w:pPr>
    <w:rPr>
      <w:color w:val="FFFFFF" w:themeColor="background1"/>
      <w:sz w:val="16"/>
      <w:szCs w:val="20"/>
    </w:rPr>
  </w:style>
  <w:style w:type="character" w:styleId="BookTitle">
    <w:name w:val="Book Title"/>
    <w:basedOn w:val="DefaultParagraphFont"/>
    <w:uiPriority w:val="15"/>
    <w:qFormat/>
    <w:rsid w:val="004D54F4"/>
    <w:rPr>
      <w:b/>
      <w:bCs/>
      <w:i/>
      <w:iCs/>
      <w:spacing w:val="5"/>
    </w:rPr>
  </w:style>
  <w:style w:type="paragraph" w:customStyle="1" w:styleId="CalloutCaption">
    <w:name w:val="Callout Caption"/>
    <w:basedOn w:val="BaseText"/>
    <w:uiPriority w:val="12"/>
    <w:qFormat/>
    <w:rsid w:val="004D54F4"/>
    <w:pPr>
      <w:spacing w:line="240" w:lineRule="auto"/>
      <w:jc w:val="center"/>
    </w:pPr>
    <w:rPr>
      <w:sz w:val="16"/>
      <w:szCs w:val="16"/>
    </w:rPr>
  </w:style>
  <w:style w:type="paragraph" w:customStyle="1" w:styleId="CalloutHeading">
    <w:name w:val="Callout Heading"/>
    <w:basedOn w:val="BaseHeading"/>
    <w:next w:val="CalloutText"/>
    <w:uiPriority w:val="12"/>
    <w:qFormat/>
    <w:rsid w:val="004D54F4"/>
    <w:pPr>
      <w:spacing w:before="240" w:after="120" w:line="264" w:lineRule="auto"/>
      <w:ind w:left="170" w:right="170"/>
      <w:jc w:val="center"/>
    </w:pPr>
    <w:rPr>
      <w:color w:val="00A2E0" w:themeColor="accent2"/>
      <w:sz w:val="28"/>
    </w:rPr>
  </w:style>
  <w:style w:type="paragraph" w:customStyle="1" w:styleId="CalloutText">
    <w:name w:val="Callout Text"/>
    <w:basedOn w:val="CalloutHeading"/>
    <w:uiPriority w:val="12"/>
    <w:qFormat/>
    <w:rsid w:val="004D54F4"/>
    <w:pPr>
      <w:spacing w:before="0" w:after="0" w:line="288" w:lineRule="auto"/>
    </w:pPr>
    <w:rPr>
      <w:color w:val="4D4D4F" w:themeColor="text2"/>
      <w:sz w:val="22"/>
    </w:rPr>
  </w:style>
  <w:style w:type="paragraph" w:customStyle="1" w:styleId="ContactDetails">
    <w:name w:val="Contact Details"/>
    <w:basedOn w:val="BodyText"/>
    <w:next w:val="TableText"/>
    <w:uiPriority w:val="20"/>
    <w:qFormat/>
    <w:rsid w:val="004D54F4"/>
    <w:pPr>
      <w:spacing w:before="60" w:after="60" w:line="216" w:lineRule="auto"/>
    </w:pPr>
  </w:style>
  <w:style w:type="paragraph" w:customStyle="1" w:styleId="ContactName">
    <w:name w:val="Contact Name"/>
    <w:basedOn w:val="BodyText"/>
    <w:next w:val="ContactRole"/>
    <w:uiPriority w:val="19"/>
    <w:qFormat/>
    <w:rsid w:val="004D54F4"/>
    <w:pPr>
      <w:spacing w:after="60" w:line="216" w:lineRule="auto"/>
    </w:pPr>
    <w:rPr>
      <w:b/>
      <w:bCs/>
    </w:rPr>
  </w:style>
  <w:style w:type="paragraph" w:customStyle="1" w:styleId="ContactRole">
    <w:name w:val="Contact Role"/>
    <w:basedOn w:val="BodyText"/>
    <w:next w:val="ContactDetails"/>
    <w:uiPriority w:val="19"/>
    <w:qFormat/>
    <w:rsid w:val="004D54F4"/>
    <w:pPr>
      <w:spacing w:after="120" w:line="216" w:lineRule="auto"/>
    </w:pPr>
  </w:style>
  <w:style w:type="paragraph" w:customStyle="1" w:styleId="CVandContactHeading">
    <w:name w:val="CV and Contact Heading"/>
    <w:basedOn w:val="BaseHeading"/>
    <w:next w:val="ContactName"/>
    <w:uiPriority w:val="18"/>
    <w:qFormat/>
    <w:rsid w:val="004D54F4"/>
    <w:pPr>
      <w:spacing w:after="60"/>
    </w:pPr>
    <w:rPr>
      <w:rFonts w:asciiTheme="minorHAnsi" w:hAnsiTheme="minorHAnsi"/>
      <w:b/>
      <w:bCs/>
      <w:color w:val="06357A" w:themeColor="background2"/>
      <w:sz w:val="18"/>
      <w:szCs w:val="24"/>
    </w:rPr>
  </w:style>
  <w:style w:type="paragraph" w:customStyle="1" w:styleId="CVName">
    <w:name w:val="CV Name"/>
    <w:basedOn w:val="CVandContactHeading"/>
    <w:uiPriority w:val="17"/>
    <w:qFormat/>
    <w:rsid w:val="004D54F4"/>
    <w:pPr>
      <w:spacing w:before="60"/>
    </w:pPr>
    <w:rPr>
      <w:sz w:val="28"/>
    </w:rPr>
  </w:style>
  <w:style w:type="table" w:customStyle="1" w:styleId="Plain">
    <w:name w:val="Plain"/>
    <w:basedOn w:val="TableNormal"/>
    <w:rsid w:val="004D54F4"/>
    <w:pPr>
      <w:spacing w:after="0" w:line="240" w:lineRule="auto"/>
    </w:pPr>
    <w:rPr>
      <w:kern w:val="0"/>
      <w14:ligatures w14:val="none"/>
    </w:rPr>
    <w:tblPr/>
    <w:tcPr>
      <w:shd w:val="clear" w:color="auto" w:fill="auto"/>
      <w:tcMar>
        <w:left w:w="0" w:type="dxa"/>
        <w:right w:w="0" w:type="dxa"/>
      </w:tcMar>
    </w:tcPr>
  </w:style>
  <w:style w:type="table" w:customStyle="1" w:styleId="CVTable">
    <w:name w:val="CV Table"/>
    <w:basedOn w:val="Plain"/>
    <w:uiPriority w:val="99"/>
    <w:rsid w:val="004D54F4"/>
    <w:pPr>
      <w:spacing w:before="60" w:after="60" w:line="216" w:lineRule="auto"/>
    </w:pPr>
    <w:rPr>
      <w:color w:val="4D4D4F" w:themeColor="text2"/>
    </w:rPr>
    <w:tblPr/>
    <w:tcPr>
      <w:shd w:val="clear" w:color="auto" w:fill="EAF4FB"/>
      <w:tcMar>
        <w:left w:w="0" w:type="nil"/>
        <w:right w:w="0" w:type="nil"/>
      </w:tcMar>
    </w:tcPr>
    <w:tblStylePr w:type="firstRow">
      <w:pPr>
        <w:wordWrap/>
        <w:spacing w:beforeLines="60" w:before="60" w:beforeAutospacing="0" w:afterLines="60" w:after="60" w:afterAutospacing="0" w:line="216" w:lineRule="auto"/>
        <w:contextualSpacing w:val="0"/>
        <w:jc w:val="left"/>
      </w:pPr>
      <w:rPr>
        <w:rFonts w:asciiTheme="majorHAnsi" w:hAnsiTheme="majorHAnsi"/>
        <w:b w:val="0"/>
        <w:i w:val="0"/>
        <w:color w:val="06357A" w:themeColor="background2"/>
        <w:sz w:val="18"/>
      </w:rPr>
    </w:tblStylePr>
  </w:style>
  <w:style w:type="paragraph" w:customStyle="1" w:styleId="CVTitleandPracticegroup">
    <w:name w:val="CV Title and Practice group"/>
    <w:basedOn w:val="CVName"/>
    <w:uiPriority w:val="17"/>
    <w:qFormat/>
    <w:rsid w:val="004D54F4"/>
    <w:rPr>
      <w:b w:val="0"/>
      <w:color w:val="00A2E0" w:themeColor="accent2"/>
      <w:sz w:val="24"/>
    </w:rPr>
  </w:style>
  <w:style w:type="table" w:customStyle="1" w:styleId="LLTextTable">
    <w:name w:val="L&amp;L Text Table"/>
    <w:basedOn w:val="Plain"/>
    <w:uiPriority w:val="99"/>
    <w:rsid w:val="004D54F4"/>
    <w:rPr>
      <w:color w:val="4D4D4F"/>
    </w:rPr>
    <w:tblPr>
      <w:tblStyleRowBandSize w:val="1"/>
      <w:tblStyleColBandSize w:val="1"/>
      <w:tblCellMar>
        <w:left w:w="57" w:type="dxa"/>
        <w:right w:w="57" w:type="dxa"/>
      </w:tblCellMar>
    </w:tblPr>
    <w:tcPr>
      <w:tcMar>
        <w:top w:w="57" w:type="dxa"/>
        <w:left w:w="0" w:type="nil"/>
        <w:bottom w:w="57" w:type="dxa"/>
        <w:right w:w="0" w:type="nil"/>
      </w:tcMar>
    </w:tcPr>
    <w:tblStylePr w:type="firstRow">
      <w:pPr>
        <w:wordWrap/>
        <w:spacing w:beforeLines="0" w:before="60" w:beforeAutospacing="0" w:afterLines="0" w:after="60" w:afterAutospacing="0" w:line="216" w:lineRule="auto"/>
      </w:pPr>
      <w:rPr>
        <w:rFonts w:asciiTheme="majorHAnsi" w:hAnsiTheme="majorHAnsi"/>
        <w:b/>
        <w:color w:val="FFFFFF" w:themeColor="background1"/>
        <w:sz w:val="18"/>
      </w:rPr>
      <w:tblPr/>
      <w:tcPr>
        <w:shd w:val="clear" w:color="auto" w:fill="06357A" w:themeFill="accent1"/>
      </w:tcPr>
    </w:tblStylePr>
    <w:tblStylePr w:type="lastRow">
      <w:rPr>
        <w:rFonts w:asciiTheme="minorHAnsi" w:hAnsiTheme="minorHAnsi"/>
        <w:b/>
        <w:sz w:val="18"/>
      </w:rPr>
      <w:tblPr/>
      <w:tcPr>
        <w:tcBorders>
          <w:top w:val="single" w:sz="4" w:space="0" w:color="auto"/>
          <w:left w:val="nil"/>
          <w:bottom w:val="single" w:sz="4" w:space="0" w:color="auto"/>
          <w:right w:val="nil"/>
          <w:insideH w:val="nil"/>
          <w:insideV w:val="nil"/>
          <w:tl2br w:val="nil"/>
          <w:tr2bl w:val="nil"/>
        </w:tcBorders>
      </w:tcPr>
    </w:tblStylePr>
    <w:tblStylePr w:type="firstCol">
      <w:rPr>
        <w:rFonts w:asciiTheme="minorHAnsi" w:hAnsiTheme="minorHAnsi"/>
        <w:b w:val="0"/>
        <w:sz w:val="18"/>
      </w:rPr>
    </w:tblStylePr>
    <w:tblStylePr w:type="lastCol">
      <w:rPr>
        <w:b/>
        <w:i w:val="0"/>
      </w:rPr>
    </w:tblStylePr>
    <w:tblStylePr w:type="band1Vert">
      <w:tblPr/>
      <w:tcPr>
        <w:tcBorders>
          <w:top w:val="nil"/>
          <w:left w:val="nil"/>
          <w:bottom w:val="nil"/>
          <w:right w:val="nil"/>
          <w:insideH w:val="nil"/>
          <w:insideV w:val="nil"/>
          <w:tl2br w:val="nil"/>
          <w:tr2bl w:val="nil"/>
        </w:tcBorders>
        <w:shd w:val="clear" w:color="auto" w:fill="F2F2F2" w:themeFill="background1" w:themeFillShade="F2"/>
      </w:tcPr>
    </w:tblStylePr>
    <w:tblStylePr w:type="band1Horz">
      <w:tblPr/>
      <w:tcPr>
        <w:shd w:val="clear" w:color="auto" w:fill="CFE5F7"/>
      </w:tcPr>
    </w:tblStylePr>
    <w:tblStylePr w:type="band2Horz">
      <w:tblPr/>
      <w:tcPr>
        <w:tcBorders>
          <w:top w:val="nil"/>
          <w:left w:val="nil"/>
          <w:bottom w:val="nil"/>
          <w:right w:val="nil"/>
          <w:insideH w:val="nil"/>
          <w:insideV w:val="nil"/>
          <w:tl2br w:val="nil"/>
          <w:tr2bl w:val="nil"/>
        </w:tcBorders>
      </w:tcPr>
    </w:tblStylePr>
  </w:style>
  <w:style w:type="table" w:customStyle="1" w:styleId="DataTableComplete">
    <w:name w:val="Data Table Complete"/>
    <w:basedOn w:val="LLTextTable"/>
    <w:uiPriority w:val="99"/>
    <w:rsid w:val="004D54F4"/>
    <w:pPr>
      <w:jc w:val="right"/>
    </w:pPr>
    <w:tblPr/>
    <w:tblStylePr w:type="firstRow">
      <w:pPr>
        <w:wordWrap/>
        <w:spacing w:beforeLines="0" w:before="60" w:beforeAutospacing="0" w:afterLines="0" w:after="60" w:afterAutospacing="0" w:line="216" w:lineRule="auto"/>
      </w:pPr>
      <w:rPr>
        <w:rFonts w:asciiTheme="majorHAnsi" w:hAnsiTheme="majorHAnsi"/>
        <w:b/>
        <w:color w:val="FFFFFF" w:themeColor="background1"/>
        <w:sz w:val="18"/>
      </w:rPr>
      <w:tblPr/>
      <w:tcPr>
        <w:shd w:val="clear" w:color="auto" w:fill="06357A" w:themeFill="background2"/>
      </w:tcPr>
    </w:tblStylePr>
    <w:tblStylePr w:type="lastRow">
      <w:rPr>
        <w:rFonts w:asciiTheme="minorHAnsi" w:hAnsiTheme="minorHAnsi"/>
        <w:b/>
        <w:sz w:val="18"/>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rPr>
        <w:rFonts w:asciiTheme="minorHAnsi" w:hAnsiTheme="minorHAnsi"/>
        <w:b w:val="0"/>
        <w:color w:val="06357A" w:themeColor="background2"/>
        <w:sz w:val="18"/>
      </w:rPr>
      <w:tblPr/>
      <w:tcPr>
        <w:noWrap/>
      </w:tcPr>
    </w:tblStylePr>
    <w:tblStylePr w:type="lastCol">
      <w:rPr>
        <w:b/>
        <w:i w:val="0"/>
      </w:rPr>
    </w:tblStylePr>
    <w:tblStylePr w:type="band1Vert">
      <w:tblPr/>
      <w:tcPr>
        <w:tcBorders>
          <w:top w:val="nil"/>
          <w:left w:val="nil"/>
          <w:bottom w:val="nil"/>
          <w:right w:val="nil"/>
          <w:insideH w:val="nil"/>
          <w:insideV w:val="nil"/>
          <w:tl2br w:val="nil"/>
          <w:tr2bl w:val="nil"/>
        </w:tcBorders>
        <w:shd w:val="clear" w:color="auto" w:fill="F2F2F2" w:themeFill="background1" w:themeFillShade="F2"/>
      </w:tcPr>
    </w:tblStylePr>
    <w:tblStylePr w:type="band1Horz">
      <w:tblPr/>
      <w:tcPr>
        <w:shd w:val="clear" w:color="auto" w:fill="CFE5F7"/>
      </w:tcPr>
    </w:tblStylePr>
    <w:tblStylePr w:type="band2Horz">
      <w:tblPr/>
      <w:tcPr>
        <w:tcBorders>
          <w:top w:val="nil"/>
          <w:left w:val="nil"/>
          <w:bottom w:val="nil"/>
          <w:right w:val="nil"/>
          <w:insideH w:val="nil"/>
          <w:insideV w:val="nil"/>
          <w:tl2br w:val="nil"/>
          <w:tr2bl w:val="nil"/>
        </w:tcBorders>
      </w:tcPr>
    </w:tblStylePr>
  </w:style>
  <w:style w:type="paragraph" w:styleId="Date">
    <w:name w:val="Date"/>
    <w:basedOn w:val="BaseText"/>
    <w:next w:val="BodyText"/>
    <w:link w:val="DateChar"/>
    <w:uiPriority w:val="77"/>
    <w:rsid w:val="004D54F4"/>
    <w:rPr>
      <w:color w:val="FFFFFF" w:themeColor="background1"/>
    </w:rPr>
  </w:style>
  <w:style w:type="character" w:customStyle="1" w:styleId="DateChar">
    <w:name w:val="Date Char"/>
    <w:basedOn w:val="DefaultParagraphFont"/>
    <w:link w:val="Date"/>
    <w:uiPriority w:val="77"/>
    <w:rsid w:val="004D54F4"/>
    <w:rPr>
      <w:color w:val="FFFFFF" w:themeColor="background1"/>
      <w:kern w:val="0"/>
      <w:sz w:val="18"/>
      <w14:ligatures w14:val="none"/>
    </w:rPr>
  </w:style>
  <w:style w:type="paragraph" w:customStyle="1" w:styleId="Disclaimer">
    <w:name w:val="Disclaimer"/>
    <w:basedOn w:val="BaseText"/>
    <w:uiPriority w:val="79"/>
    <w:semiHidden/>
    <w:qFormat/>
    <w:rsid w:val="004D54F4"/>
    <w:pPr>
      <w:spacing w:line="240" w:lineRule="auto"/>
    </w:pPr>
    <w:rPr>
      <w:sz w:val="16"/>
      <w:szCs w:val="16"/>
    </w:rPr>
  </w:style>
  <w:style w:type="paragraph" w:customStyle="1" w:styleId="DividerSubtitleWhite">
    <w:name w:val="Divider Subtitle (White)"/>
    <w:basedOn w:val="BaseHeading"/>
    <w:uiPriority w:val="36"/>
    <w:qFormat/>
    <w:rsid w:val="004D54F4"/>
    <w:rPr>
      <w:color w:val="FFFFFF" w:themeColor="background1"/>
      <w:sz w:val="28"/>
      <w:szCs w:val="36"/>
    </w:rPr>
  </w:style>
  <w:style w:type="paragraph" w:customStyle="1" w:styleId="DividerTitleWhite">
    <w:name w:val="Divider Title (White)"/>
    <w:basedOn w:val="BaseHeading"/>
    <w:next w:val="Normal"/>
    <w:uiPriority w:val="35"/>
    <w:qFormat/>
    <w:rsid w:val="004D54F4"/>
    <w:pPr>
      <w:spacing w:before="480" w:after="120" w:line="216" w:lineRule="auto"/>
      <w:contextualSpacing/>
    </w:pPr>
    <w:rPr>
      <w:color w:val="FFFFFF" w:themeColor="background1"/>
      <w:sz w:val="64"/>
      <w:szCs w:val="48"/>
    </w:rPr>
  </w:style>
  <w:style w:type="paragraph" w:customStyle="1" w:styleId="DocumentStatus">
    <w:name w:val="Document Status"/>
    <w:basedOn w:val="BaseText"/>
    <w:uiPriority w:val="79"/>
    <w:semiHidden/>
    <w:qFormat/>
    <w:rsid w:val="004D54F4"/>
    <w:rPr>
      <w:sz w:val="20"/>
      <w:szCs w:val="20"/>
    </w:rPr>
  </w:style>
  <w:style w:type="character" w:styleId="Emphasis">
    <w:name w:val="Emphasis"/>
    <w:basedOn w:val="DefaultParagraphFont"/>
    <w:uiPriority w:val="11"/>
    <w:qFormat/>
    <w:rsid w:val="004D54F4"/>
    <w:rPr>
      <w:rFonts w:asciiTheme="minorHAnsi" w:hAnsiTheme="minorHAnsi"/>
      <w:i w:val="0"/>
      <w:iCs/>
      <w:color w:val="FF0000"/>
      <w:sz w:val="18"/>
    </w:rPr>
  </w:style>
  <w:style w:type="paragraph" w:styleId="EndnoteText">
    <w:name w:val="endnote text"/>
    <w:basedOn w:val="Normal"/>
    <w:link w:val="EndnoteTextChar"/>
    <w:uiPriority w:val="89"/>
    <w:semiHidden/>
    <w:rsid w:val="004D54F4"/>
    <w:pPr>
      <w:spacing w:after="0" w:line="240" w:lineRule="auto"/>
    </w:pPr>
    <w:rPr>
      <w:sz w:val="16"/>
      <w:szCs w:val="20"/>
    </w:rPr>
  </w:style>
  <w:style w:type="character" w:customStyle="1" w:styleId="EndnoteTextChar">
    <w:name w:val="Endnote Text Char"/>
    <w:basedOn w:val="DefaultParagraphFont"/>
    <w:link w:val="EndnoteText"/>
    <w:uiPriority w:val="89"/>
    <w:semiHidden/>
    <w:rsid w:val="004D54F4"/>
    <w:rPr>
      <w:kern w:val="0"/>
      <w:sz w:val="16"/>
      <w:szCs w:val="20"/>
      <w14:ligatures w14:val="none"/>
    </w:rPr>
  </w:style>
  <w:style w:type="paragraph" w:customStyle="1" w:styleId="FigureSource">
    <w:name w:val="Figure Source"/>
    <w:basedOn w:val="BaseText"/>
    <w:uiPriority w:val="60"/>
    <w:semiHidden/>
    <w:qFormat/>
    <w:rsid w:val="004D54F4"/>
    <w:rPr>
      <w:sz w:val="20"/>
      <w:szCs w:val="20"/>
    </w:rPr>
  </w:style>
  <w:style w:type="paragraph" w:customStyle="1" w:styleId="FigureTitle">
    <w:name w:val="Figure Title"/>
    <w:basedOn w:val="BaseHeading"/>
    <w:uiPriority w:val="59"/>
    <w:semiHidden/>
    <w:qFormat/>
    <w:rsid w:val="004D54F4"/>
    <w:rPr>
      <w:b/>
      <w:color w:val="auto"/>
      <w:sz w:val="20"/>
    </w:rPr>
  </w:style>
  <w:style w:type="paragraph" w:styleId="FootnoteText">
    <w:name w:val="footnote text"/>
    <w:basedOn w:val="Normal"/>
    <w:link w:val="FootnoteTextChar"/>
    <w:uiPriority w:val="89"/>
    <w:semiHidden/>
    <w:rsid w:val="004D54F4"/>
    <w:pPr>
      <w:spacing w:after="0" w:line="240" w:lineRule="auto"/>
    </w:pPr>
    <w:rPr>
      <w:sz w:val="16"/>
      <w:szCs w:val="20"/>
    </w:rPr>
  </w:style>
  <w:style w:type="character" w:customStyle="1" w:styleId="FootnoteTextChar">
    <w:name w:val="Footnote Text Char"/>
    <w:basedOn w:val="DefaultParagraphFont"/>
    <w:link w:val="FootnoteText"/>
    <w:uiPriority w:val="89"/>
    <w:semiHidden/>
    <w:rsid w:val="004D54F4"/>
    <w:rPr>
      <w:kern w:val="0"/>
      <w:sz w:val="16"/>
      <w:szCs w:val="20"/>
      <w14:ligatures w14:val="none"/>
    </w:rPr>
  </w:style>
  <w:style w:type="paragraph" w:customStyle="1" w:styleId="HeadingWhite">
    <w:name w:val="Heading (White)"/>
    <w:basedOn w:val="Heading1"/>
    <w:next w:val="BodyText"/>
    <w:uiPriority w:val="37"/>
    <w:qFormat/>
    <w:rsid w:val="004D54F4"/>
    <w:rPr>
      <w:color w:val="FFFFFF" w:themeColor="background1"/>
    </w:rPr>
  </w:style>
  <w:style w:type="character" w:styleId="Hyperlink">
    <w:name w:val="Hyperlink"/>
    <w:basedOn w:val="DefaultParagraphFont"/>
    <w:uiPriority w:val="99"/>
    <w:rsid w:val="004D54F4"/>
    <w:rPr>
      <w:color w:val="215E9E" w:themeColor="hyperlink"/>
      <w:u w:val="single"/>
    </w:rPr>
  </w:style>
  <w:style w:type="paragraph" w:customStyle="1" w:styleId="LargeStatistic">
    <w:name w:val="Large Statistic"/>
    <w:basedOn w:val="BaseText"/>
    <w:next w:val="BodyText"/>
    <w:uiPriority w:val="30"/>
    <w:semiHidden/>
    <w:qFormat/>
    <w:rsid w:val="004D54F4"/>
    <w:rPr>
      <w:color w:val="06357A" w:themeColor="accent1"/>
      <w:sz w:val="56"/>
      <w:szCs w:val="56"/>
    </w:rPr>
  </w:style>
  <w:style w:type="paragraph" w:customStyle="1" w:styleId="LeadParagraph">
    <w:name w:val="Lead Paragraph"/>
    <w:basedOn w:val="BodyText"/>
    <w:uiPriority w:val="7"/>
    <w:semiHidden/>
    <w:qFormat/>
    <w:rsid w:val="004D54F4"/>
    <w:rPr>
      <w:sz w:val="24"/>
      <w:szCs w:val="24"/>
    </w:rPr>
  </w:style>
  <w:style w:type="paragraph" w:styleId="ListBullet">
    <w:name w:val="List Bullet"/>
    <w:basedOn w:val="BodyText"/>
    <w:uiPriority w:val="7"/>
    <w:qFormat/>
    <w:rsid w:val="004D54F4"/>
    <w:pPr>
      <w:numPr>
        <w:numId w:val="11"/>
      </w:numPr>
    </w:pPr>
  </w:style>
  <w:style w:type="paragraph" w:customStyle="1" w:styleId="ListHeading1White">
    <w:name w:val="List Heading 1 (White)"/>
    <w:basedOn w:val="Heading1"/>
    <w:qFormat/>
    <w:rsid w:val="004D54F4"/>
    <w:pPr>
      <w:numPr>
        <w:numId w:val="12"/>
      </w:numPr>
    </w:pPr>
    <w:rPr>
      <w:color w:val="FFFFFF" w:themeColor="background1"/>
    </w:rPr>
  </w:style>
  <w:style w:type="paragraph" w:customStyle="1" w:styleId="ListHeading2">
    <w:name w:val="List Heading 2"/>
    <w:basedOn w:val="Heading2"/>
    <w:next w:val="BodyText"/>
    <w:qFormat/>
    <w:rsid w:val="004D54F4"/>
    <w:pPr>
      <w:numPr>
        <w:ilvl w:val="1"/>
        <w:numId w:val="12"/>
      </w:numPr>
    </w:pPr>
  </w:style>
  <w:style w:type="paragraph" w:customStyle="1" w:styleId="ListHeading3">
    <w:name w:val="List Heading 3"/>
    <w:basedOn w:val="Heading3"/>
    <w:next w:val="BodyText"/>
    <w:qFormat/>
    <w:rsid w:val="004D54F4"/>
    <w:pPr>
      <w:numPr>
        <w:ilvl w:val="2"/>
        <w:numId w:val="12"/>
      </w:numPr>
    </w:pPr>
  </w:style>
  <w:style w:type="paragraph" w:styleId="ListNumber">
    <w:name w:val="List Number"/>
    <w:basedOn w:val="BodyText"/>
    <w:uiPriority w:val="7"/>
    <w:rsid w:val="004D54F4"/>
    <w:pPr>
      <w:numPr>
        <w:numId w:val="13"/>
      </w:numPr>
    </w:pPr>
  </w:style>
  <w:style w:type="paragraph" w:styleId="NoSpacing">
    <w:name w:val="No Spacing"/>
    <w:basedOn w:val="BaseText"/>
    <w:uiPriority w:val="8"/>
    <w:qFormat/>
    <w:rsid w:val="004D54F4"/>
    <w:pPr>
      <w:spacing w:line="240" w:lineRule="auto"/>
    </w:pPr>
    <w:rPr>
      <w:color w:val="4D4D4F" w:themeColor="text2"/>
    </w:rPr>
  </w:style>
  <w:style w:type="paragraph" w:customStyle="1" w:styleId="NotesBullet0">
    <w:name w:val="Notes Bullet"/>
    <w:basedOn w:val="BodyText"/>
    <w:uiPriority w:val="20"/>
    <w:semiHidden/>
    <w:qFormat/>
    <w:rsid w:val="004D54F4"/>
    <w:pPr>
      <w:numPr>
        <w:numId w:val="14"/>
      </w:numPr>
    </w:pPr>
    <w:rPr>
      <w:sz w:val="16"/>
      <w:szCs w:val="16"/>
    </w:rPr>
  </w:style>
  <w:style w:type="paragraph" w:customStyle="1" w:styleId="NotesHeading">
    <w:name w:val="Notes Heading"/>
    <w:basedOn w:val="BaseHeading"/>
    <w:next w:val="NotesText"/>
    <w:uiPriority w:val="20"/>
    <w:semiHidden/>
    <w:qFormat/>
    <w:rsid w:val="004D54F4"/>
    <w:rPr>
      <w:b/>
      <w:sz w:val="18"/>
    </w:rPr>
  </w:style>
  <w:style w:type="paragraph" w:customStyle="1" w:styleId="NotesNumber0">
    <w:name w:val="Notes Number"/>
    <w:basedOn w:val="BodyText"/>
    <w:uiPriority w:val="20"/>
    <w:semiHidden/>
    <w:qFormat/>
    <w:rsid w:val="004D54F4"/>
    <w:pPr>
      <w:numPr>
        <w:numId w:val="15"/>
      </w:numPr>
    </w:pPr>
    <w:rPr>
      <w:sz w:val="16"/>
      <w:szCs w:val="16"/>
    </w:rPr>
  </w:style>
  <w:style w:type="paragraph" w:customStyle="1" w:styleId="NotesText">
    <w:name w:val="Notes Text"/>
    <w:basedOn w:val="BodyText"/>
    <w:uiPriority w:val="20"/>
    <w:semiHidden/>
    <w:qFormat/>
    <w:rsid w:val="004D54F4"/>
    <w:rPr>
      <w:sz w:val="16"/>
    </w:rPr>
  </w:style>
  <w:style w:type="character" w:styleId="PageNumber">
    <w:name w:val="page number"/>
    <w:uiPriority w:val="90"/>
    <w:semiHidden/>
    <w:rsid w:val="004D54F4"/>
    <w:rPr>
      <w:sz w:val="16"/>
      <w:szCs w:val="20"/>
    </w:rPr>
  </w:style>
  <w:style w:type="character" w:styleId="PlaceholderText">
    <w:name w:val="Placeholder Text"/>
    <w:basedOn w:val="DefaultParagraphFont"/>
    <w:uiPriority w:val="99"/>
    <w:semiHidden/>
    <w:rsid w:val="004D54F4"/>
    <w:rPr>
      <w:color w:val="666666"/>
    </w:rPr>
  </w:style>
  <w:style w:type="paragraph" w:customStyle="1" w:styleId="PrivacyStatus">
    <w:name w:val="Privacy Status"/>
    <w:basedOn w:val="BaseText"/>
    <w:uiPriority w:val="79"/>
    <w:semiHidden/>
    <w:qFormat/>
    <w:rsid w:val="004D54F4"/>
    <w:rPr>
      <w:sz w:val="20"/>
      <w:szCs w:val="20"/>
    </w:rPr>
  </w:style>
  <w:style w:type="paragraph" w:customStyle="1" w:styleId="QuoteLarge">
    <w:name w:val="Quote Large"/>
    <w:basedOn w:val="BodyText"/>
    <w:next w:val="QuoteSourceLarge"/>
    <w:uiPriority w:val="29"/>
    <w:semiHidden/>
    <w:qFormat/>
    <w:rsid w:val="004D54F4"/>
    <w:rPr>
      <w:color w:val="000000" w:themeColor="text1"/>
      <w:sz w:val="36"/>
      <w:szCs w:val="36"/>
    </w:rPr>
  </w:style>
  <w:style w:type="paragraph" w:customStyle="1" w:styleId="QuoteSourceWhite">
    <w:name w:val="Quote Source (White)"/>
    <w:basedOn w:val="BodyText"/>
    <w:next w:val="BodyText"/>
    <w:uiPriority w:val="29"/>
    <w:qFormat/>
    <w:rsid w:val="004D54F4"/>
    <w:rPr>
      <w:color w:val="FFFFFF" w:themeColor="background1"/>
      <w:sz w:val="20"/>
      <w:szCs w:val="20"/>
    </w:rPr>
  </w:style>
  <w:style w:type="paragraph" w:customStyle="1" w:styleId="QuoteSourceLarge">
    <w:name w:val="Quote Source Large"/>
    <w:basedOn w:val="BodyText"/>
    <w:next w:val="BodyText"/>
    <w:uiPriority w:val="29"/>
    <w:semiHidden/>
    <w:qFormat/>
    <w:rsid w:val="004D54F4"/>
    <w:rPr>
      <w:color w:val="000000" w:themeColor="text1"/>
      <w:sz w:val="24"/>
      <w:szCs w:val="24"/>
    </w:rPr>
  </w:style>
  <w:style w:type="paragraph" w:customStyle="1" w:styleId="Smallparagraph">
    <w:name w:val="Small paragraph"/>
    <w:basedOn w:val="BodyText"/>
    <w:next w:val="BodyText"/>
    <w:uiPriority w:val="22"/>
    <w:rsid w:val="004D54F4"/>
    <w:pPr>
      <w:spacing w:line="160" w:lineRule="exact"/>
    </w:pPr>
    <w:rPr>
      <w:color w:val="000000" w:themeColor="text1"/>
    </w:rPr>
  </w:style>
  <w:style w:type="paragraph" w:customStyle="1" w:styleId="Statistic">
    <w:name w:val="Statistic"/>
    <w:basedOn w:val="BaseText"/>
    <w:next w:val="BodyText"/>
    <w:uiPriority w:val="29"/>
    <w:semiHidden/>
    <w:qFormat/>
    <w:rsid w:val="004D54F4"/>
    <w:rPr>
      <w:color w:val="06357A" w:themeColor="accent1"/>
      <w:sz w:val="40"/>
      <w:szCs w:val="40"/>
    </w:rPr>
  </w:style>
  <w:style w:type="character" w:styleId="Strong">
    <w:name w:val="Strong"/>
    <w:basedOn w:val="DefaultParagraphFont"/>
    <w:uiPriority w:val="22"/>
    <w:qFormat/>
    <w:rsid w:val="004D54F4"/>
    <w:rPr>
      <w:rFonts w:asciiTheme="minorHAnsi" w:hAnsiTheme="minorHAnsi"/>
      <w:b/>
      <w:bCs/>
      <w:color w:val="4D4D4F" w:themeColor="text2"/>
      <w:sz w:val="18"/>
    </w:rPr>
  </w:style>
  <w:style w:type="character" w:styleId="SubtleEmphasis">
    <w:name w:val="Subtle Emphasis"/>
    <w:basedOn w:val="DefaultParagraphFont"/>
    <w:uiPriority w:val="11"/>
    <w:qFormat/>
    <w:rsid w:val="004D54F4"/>
    <w:rPr>
      <w:i/>
      <w:iCs/>
      <w:color w:val="404040" w:themeColor="text1" w:themeTint="BF"/>
    </w:rPr>
  </w:style>
  <w:style w:type="character" w:styleId="SubtleReference">
    <w:name w:val="Subtle Reference"/>
    <w:basedOn w:val="DefaultParagraphFont"/>
    <w:uiPriority w:val="15"/>
    <w:qFormat/>
    <w:rsid w:val="004D54F4"/>
    <w:rPr>
      <w:smallCaps/>
      <w:color w:val="5A5A5A" w:themeColor="text1" w:themeTint="A5"/>
    </w:rPr>
  </w:style>
  <w:style w:type="paragraph" w:customStyle="1" w:styleId="TableBullets">
    <w:name w:val="Table Bullets"/>
    <w:basedOn w:val="TableText"/>
    <w:uiPriority w:val="9"/>
    <w:qFormat/>
    <w:rsid w:val="004D54F4"/>
    <w:pPr>
      <w:numPr>
        <w:numId w:val="16"/>
      </w:numPr>
    </w:pPr>
    <w:rPr>
      <w:color w:val="06357A" w:themeColor="background2"/>
    </w:rPr>
  </w:style>
  <w:style w:type="paragraph" w:customStyle="1" w:styleId="TableSubheading">
    <w:name w:val="Table Subheading"/>
    <w:basedOn w:val="BaseHeading"/>
    <w:next w:val="TableBullets"/>
    <w:uiPriority w:val="8"/>
    <w:qFormat/>
    <w:rsid w:val="004D54F4"/>
    <w:pPr>
      <w:spacing w:before="60" w:after="60" w:line="216" w:lineRule="auto"/>
    </w:pPr>
    <w:rPr>
      <w:sz w:val="18"/>
    </w:rPr>
  </w:style>
  <w:style w:type="paragraph" w:styleId="TOC1">
    <w:name w:val="toc 1"/>
    <w:next w:val="Normal"/>
    <w:autoRedefine/>
    <w:uiPriority w:val="39"/>
    <w:unhideWhenUsed/>
    <w:rsid w:val="004D54F4"/>
    <w:pPr>
      <w:tabs>
        <w:tab w:val="right" w:pos="9060"/>
      </w:tabs>
      <w:spacing w:after="120" w:line="216" w:lineRule="auto"/>
    </w:pPr>
    <w:rPr>
      <w:b/>
      <w:color w:val="FFFFFF" w:themeColor="background1"/>
      <w:kern w:val="0"/>
      <w:sz w:val="28"/>
      <w14:ligatures w14:val="none"/>
    </w:rPr>
  </w:style>
  <w:style w:type="paragraph" w:styleId="TOC2">
    <w:name w:val="toc 2"/>
    <w:basedOn w:val="ListHeading2"/>
    <w:next w:val="Normal"/>
    <w:autoRedefine/>
    <w:uiPriority w:val="39"/>
    <w:unhideWhenUsed/>
    <w:rsid w:val="004D54F4"/>
    <w:pPr>
      <w:numPr>
        <w:ilvl w:val="0"/>
        <w:numId w:val="0"/>
      </w:numPr>
      <w:tabs>
        <w:tab w:val="right" w:pos="9060"/>
      </w:tabs>
      <w:spacing w:line="264" w:lineRule="auto"/>
      <w:ind w:left="340"/>
      <w:contextualSpacing/>
    </w:pPr>
    <w:rPr>
      <w:color w:val="FFFFFF" w:themeColor="background1"/>
    </w:rPr>
  </w:style>
  <w:style w:type="paragraph" w:styleId="TOC3">
    <w:name w:val="toc 3"/>
    <w:basedOn w:val="ListHeading3"/>
    <w:next w:val="Normal"/>
    <w:autoRedefine/>
    <w:uiPriority w:val="39"/>
    <w:unhideWhenUsed/>
    <w:rsid w:val="004D54F4"/>
    <w:pPr>
      <w:numPr>
        <w:ilvl w:val="0"/>
        <w:numId w:val="0"/>
      </w:numPr>
      <w:tabs>
        <w:tab w:val="right" w:pos="9061"/>
      </w:tabs>
      <w:spacing w:line="264" w:lineRule="auto"/>
      <w:ind w:left="567"/>
    </w:pPr>
    <w:rPr>
      <w:rFonts w:asciiTheme="minorHAnsi" w:hAnsiTheme="minorHAnsi"/>
      <w:color w:val="FFFFFF" w:themeColor="background1"/>
      <w:sz w:val="20"/>
    </w:rPr>
  </w:style>
  <w:style w:type="paragraph" w:styleId="TOCHeading">
    <w:name w:val="TOC Heading"/>
    <w:aliases w:val="TOC Heading (White)"/>
    <w:basedOn w:val="Heading1"/>
    <w:next w:val="Normal"/>
    <w:uiPriority w:val="38"/>
    <w:unhideWhenUsed/>
    <w:rsid w:val="004D54F4"/>
    <w:pPr>
      <w:spacing w:after="360" w:line="259" w:lineRule="auto"/>
      <w:outlineLvl w:val="9"/>
    </w:pPr>
    <w:rPr>
      <w:b/>
      <w:color w:val="FFFFFF" w:themeColor="background1"/>
    </w:rPr>
  </w:style>
  <w:style w:type="paragraph" w:customStyle="1" w:styleId="TombstoneText">
    <w:name w:val="Tombstone Text"/>
    <w:basedOn w:val="BaseText"/>
    <w:uiPriority w:val="21"/>
    <w:semiHidden/>
    <w:rsid w:val="004D54F4"/>
    <w:pPr>
      <w:spacing w:before="120" w:after="120" w:line="240" w:lineRule="auto"/>
      <w:ind w:left="113" w:right="113"/>
    </w:pPr>
    <w:rPr>
      <w:rFonts w:cstheme="minorHAnsi"/>
      <w:color w:val="000000" w:themeColor="text1"/>
      <w:sz w:val="16"/>
      <w:szCs w:val="24"/>
    </w:rPr>
  </w:style>
  <w:style w:type="paragraph" w:customStyle="1" w:styleId="TombstoneHeading">
    <w:name w:val="Tombstone Heading"/>
    <w:basedOn w:val="TombstoneText"/>
    <w:next w:val="TombstoneText"/>
    <w:uiPriority w:val="21"/>
    <w:semiHidden/>
    <w:rsid w:val="004D54F4"/>
    <w:rPr>
      <w:b/>
      <w:sz w:val="18"/>
      <w:szCs w:val="28"/>
    </w:rPr>
  </w:style>
  <w:style w:type="character" w:styleId="UnresolvedMention">
    <w:name w:val="Unresolved Mention"/>
    <w:basedOn w:val="DefaultParagraphFont"/>
    <w:uiPriority w:val="99"/>
    <w:semiHidden/>
    <w:unhideWhenUsed/>
    <w:rsid w:val="004D5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078987">
      <w:bodyDiv w:val="1"/>
      <w:marLeft w:val="0"/>
      <w:marRight w:val="0"/>
      <w:marTop w:val="0"/>
      <w:marBottom w:val="0"/>
      <w:divBdr>
        <w:top w:val="none" w:sz="0" w:space="0" w:color="auto"/>
        <w:left w:val="none" w:sz="0" w:space="0" w:color="auto"/>
        <w:bottom w:val="none" w:sz="0" w:space="0" w:color="auto"/>
        <w:right w:val="none" w:sz="0" w:space="0" w:color="auto"/>
      </w:divBdr>
      <w:divsChild>
        <w:div w:id="118961012">
          <w:marLeft w:val="274"/>
          <w:marRight w:val="0"/>
          <w:marTop w:val="60"/>
          <w:marBottom w:val="0"/>
          <w:divBdr>
            <w:top w:val="none" w:sz="0" w:space="0" w:color="auto"/>
            <w:left w:val="none" w:sz="0" w:space="0" w:color="auto"/>
            <w:bottom w:val="none" w:sz="0" w:space="0" w:color="auto"/>
            <w:right w:val="none" w:sz="0" w:space="0" w:color="auto"/>
          </w:divBdr>
        </w:div>
        <w:div w:id="386805558">
          <w:marLeft w:val="274"/>
          <w:marRight w:val="0"/>
          <w:marTop w:val="60"/>
          <w:marBottom w:val="0"/>
          <w:divBdr>
            <w:top w:val="none" w:sz="0" w:space="0" w:color="auto"/>
            <w:left w:val="none" w:sz="0" w:space="0" w:color="auto"/>
            <w:bottom w:val="none" w:sz="0" w:space="0" w:color="auto"/>
            <w:right w:val="none" w:sz="0" w:space="0" w:color="auto"/>
          </w:divBdr>
        </w:div>
        <w:div w:id="1546796699">
          <w:marLeft w:val="274"/>
          <w:marRight w:val="0"/>
          <w:marTop w:val="60"/>
          <w:marBottom w:val="0"/>
          <w:divBdr>
            <w:top w:val="none" w:sz="0" w:space="0" w:color="auto"/>
            <w:left w:val="none" w:sz="0" w:space="0" w:color="auto"/>
            <w:bottom w:val="none" w:sz="0" w:space="0" w:color="auto"/>
            <w:right w:val="none" w:sz="0" w:space="0" w:color="auto"/>
          </w:divBdr>
        </w:div>
        <w:div w:id="965697217">
          <w:marLeft w:val="274"/>
          <w:marRight w:val="0"/>
          <w:marTop w:val="60"/>
          <w:marBottom w:val="0"/>
          <w:divBdr>
            <w:top w:val="none" w:sz="0" w:space="0" w:color="auto"/>
            <w:left w:val="none" w:sz="0" w:space="0" w:color="auto"/>
            <w:bottom w:val="none" w:sz="0" w:space="0" w:color="auto"/>
            <w:right w:val="none" w:sz="0" w:space="0" w:color="auto"/>
          </w:divBdr>
        </w:div>
        <w:div w:id="1989506297">
          <w:marLeft w:val="274"/>
          <w:marRight w:val="0"/>
          <w:marTop w:val="60"/>
          <w:marBottom w:val="0"/>
          <w:divBdr>
            <w:top w:val="none" w:sz="0" w:space="0" w:color="auto"/>
            <w:left w:val="none" w:sz="0" w:space="0" w:color="auto"/>
            <w:bottom w:val="none" w:sz="0" w:space="0" w:color="auto"/>
            <w:right w:val="none" w:sz="0" w:space="0" w:color="auto"/>
          </w:divBdr>
        </w:div>
        <w:div w:id="1624144904">
          <w:marLeft w:val="274"/>
          <w:marRight w:val="0"/>
          <w:marTop w:val="60"/>
          <w:marBottom w:val="0"/>
          <w:divBdr>
            <w:top w:val="none" w:sz="0" w:space="0" w:color="auto"/>
            <w:left w:val="none" w:sz="0" w:space="0" w:color="auto"/>
            <w:bottom w:val="none" w:sz="0" w:space="0" w:color="auto"/>
            <w:right w:val="none" w:sz="0" w:space="0" w:color="auto"/>
          </w:divBdr>
        </w:div>
        <w:div w:id="1666282951">
          <w:marLeft w:val="274"/>
          <w:marRight w:val="0"/>
          <w:marTop w:val="60"/>
          <w:marBottom w:val="0"/>
          <w:divBdr>
            <w:top w:val="none" w:sz="0" w:space="0" w:color="auto"/>
            <w:left w:val="none" w:sz="0" w:space="0" w:color="auto"/>
            <w:bottom w:val="none" w:sz="0" w:space="0" w:color="auto"/>
            <w:right w:val="none" w:sz="0" w:space="0" w:color="auto"/>
          </w:divBdr>
        </w:div>
        <w:div w:id="818887427">
          <w:marLeft w:val="274"/>
          <w:marRight w:val="0"/>
          <w:marTop w:val="60"/>
          <w:marBottom w:val="0"/>
          <w:divBdr>
            <w:top w:val="none" w:sz="0" w:space="0" w:color="auto"/>
            <w:left w:val="none" w:sz="0" w:space="0" w:color="auto"/>
            <w:bottom w:val="none" w:sz="0" w:space="0" w:color="auto"/>
            <w:right w:val="none" w:sz="0" w:space="0" w:color="auto"/>
          </w:divBdr>
        </w:div>
        <w:div w:id="255556594">
          <w:marLeft w:val="274"/>
          <w:marRight w:val="0"/>
          <w:marTop w:val="60"/>
          <w:marBottom w:val="0"/>
          <w:divBdr>
            <w:top w:val="none" w:sz="0" w:space="0" w:color="auto"/>
            <w:left w:val="none" w:sz="0" w:space="0" w:color="auto"/>
            <w:bottom w:val="none" w:sz="0" w:space="0" w:color="auto"/>
            <w:right w:val="none" w:sz="0" w:space="0" w:color="auto"/>
          </w:divBdr>
        </w:div>
      </w:divsChild>
    </w:div>
    <w:div w:id="370886666">
      <w:bodyDiv w:val="1"/>
      <w:marLeft w:val="0"/>
      <w:marRight w:val="0"/>
      <w:marTop w:val="0"/>
      <w:marBottom w:val="0"/>
      <w:divBdr>
        <w:top w:val="none" w:sz="0" w:space="0" w:color="auto"/>
        <w:left w:val="none" w:sz="0" w:space="0" w:color="auto"/>
        <w:bottom w:val="none" w:sz="0" w:space="0" w:color="auto"/>
        <w:right w:val="none" w:sz="0" w:space="0" w:color="auto"/>
      </w:divBdr>
    </w:div>
    <w:div w:id="662703456">
      <w:bodyDiv w:val="1"/>
      <w:marLeft w:val="0"/>
      <w:marRight w:val="0"/>
      <w:marTop w:val="0"/>
      <w:marBottom w:val="0"/>
      <w:divBdr>
        <w:top w:val="none" w:sz="0" w:space="0" w:color="auto"/>
        <w:left w:val="none" w:sz="0" w:space="0" w:color="auto"/>
        <w:bottom w:val="none" w:sz="0" w:space="0" w:color="auto"/>
        <w:right w:val="none" w:sz="0" w:space="0" w:color="auto"/>
      </w:divBdr>
      <w:divsChild>
        <w:div w:id="1113288592">
          <w:marLeft w:val="446"/>
          <w:marRight w:val="0"/>
          <w:marTop w:val="60"/>
          <w:marBottom w:val="0"/>
          <w:divBdr>
            <w:top w:val="none" w:sz="0" w:space="0" w:color="auto"/>
            <w:left w:val="none" w:sz="0" w:space="0" w:color="auto"/>
            <w:bottom w:val="none" w:sz="0" w:space="0" w:color="auto"/>
            <w:right w:val="none" w:sz="0" w:space="0" w:color="auto"/>
          </w:divBdr>
        </w:div>
        <w:div w:id="1727601094">
          <w:marLeft w:val="446"/>
          <w:marRight w:val="0"/>
          <w:marTop w:val="60"/>
          <w:marBottom w:val="0"/>
          <w:divBdr>
            <w:top w:val="none" w:sz="0" w:space="0" w:color="auto"/>
            <w:left w:val="none" w:sz="0" w:space="0" w:color="auto"/>
            <w:bottom w:val="none" w:sz="0" w:space="0" w:color="auto"/>
            <w:right w:val="none" w:sz="0" w:space="0" w:color="auto"/>
          </w:divBdr>
        </w:div>
        <w:div w:id="932512588">
          <w:marLeft w:val="446"/>
          <w:marRight w:val="0"/>
          <w:marTop w:val="60"/>
          <w:marBottom w:val="0"/>
          <w:divBdr>
            <w:top w:val="none" w:sz="0" w:space="0" w:color="auto"/>
            <w:left w:val="none" w:sz="0" w:space="0" w:color="auto"/>
            <w:bottom w:val="none" w:sz="0" w:space="0" w:color="auto"/>
            <w:right w:val="none" w:sz="0" w:space="0" w:color="auto"/>
          </w:divBdr>
        </w:div>
        <w:div w:id="1116482077">
          <w:marLeft w:val="446"/>
          <w:marRight w:val="0"/>
          <w:marTop w:val="60"/>
          <w:marBottom w:val="0"/>
          <w:divBdr>
            <w:top w:val="none" w:sz="0" w:space="0" w:color="auto"/>
            <w:left w:val="none" w:sz="0" w:space="0" w:color="auto"/>
            <w:bottom w:val="none" w:sz="0" w:space="0" w:color="auto"/>
            <w:right w:val="none" w:sz="0" w:space="0" w:color="auto"/>
          </w:divBdr>
        </w:div>
        <w:div w:id="2101952110">
          <w:marLeft w:val="446"/>
          <w:marRight w:val="0"/>
          <w:marTop w:val="60"/>
          <w:marBottom w:val="0"/>
          <w:divBdr>
            <w:top w:val="none" w:sz="0" w:space="0" w:color="auto"/>
            <w:left w:val="none" w:sz="0" w:space="0" w:color="auto"/>
            <w:bottom w:val="none" w:sz="0" w:space="0" w:color="auto"/>
            <w:right w:val="none" w:sz="0" w:space="0" w:color="auto"/>
          </w:divBdr>
        </w:div>
      </w:divsChild>
    </w:div>
    <w:div w:id="805314264">
      <w:bodyDiv w:val="1"/>
      <w:marLeft w:val="0"/>
      <w:marRight w:val="0"/>
      <w:marTop w:val="0"/>
      <w:marBottom w:val="0"/>
      <w:divBdr>
        <w:top w:val="none" w:sz="0" w:space="0" w:color="auto"/>
        <w:left w:val="none" w:sz="0" w:space="0" w:color="auto"/>
        <w:bottom w:val="none" w:sz="0" w:space="0" w:color="auto"/>
        <w:right w:val="none" w:sz="0" w:space="0" w:color="auto"/>
      </w:divBdr>
      <w:divsChild>
        <w:div w:id="2434888">
          <w:marLeft w:val="274"/>
          <w:marRight w:val="0"/>
          <w:marTop w:val="60"/>
          <w:marBottom w:val="0"/>
          <w:divBdr>
            <w:top w:val="none" w:sz="0" w:space="0" w:color="auto"/>
            <w:left w:val="none" w:sz="0" w:space="0" w:color="auto"/>
            <w:bottom w:val="none" w:sz="0" w:space="0" w:color="auto"/>
            <w:right w:val="none" w:sz="0" w:space="0" w:color="auto"/>
          </w:divBdr>
        </w:div>
        <w:div w:id="1848251558">
          <w:marLeft w:val="274"/>
          <w:marRight w:val="0"/>
          <w:marTop w:val="60"/>
          <w:marBottom w:val="0"/>
          <w:divBdr>
            <w:top w:val="none" w:sz="0" w:space="0" w:color="auto"/>
            <w:left w:val="none" w:sz="0" w:space="0" w:color="auto"/>
            <w:bottom w:val="none" w:sz="0" w:space="0" w:color="auto"/>
            <w:right w:val="none" w:sz="0" w:space="0" w:color="auto"/>
          </w:divBdr>
        </w:div>
        <w:div w:id="407919851">
          <w:marLeft w:val="274"/>
          <w:marRight w:val="0"/>
          <w:marTop w:val="60"/>
          <w:marBottom w:val="0"/>
          <w:divBdr>
            <w:top w:val="none" w:sz="0" w:space="0" w:color="auto"/>
            <w:left w:val="none" w:sz="0" w:space="0" w:color="auto"/>
            <w:bottom w:val="none" w:sz="0" w:space="0" w:color="auto"/>
            <w:right w:val="none" w:sz="0" w:space="0" w:color="auto"/>
          </w:divBdr>
        </w:div>
        <w:div w:id="269817700">
          <w:marLeft w:val="274"/>
          <w:marRight w:val="0"/>
          <w:marTop w:val="60"/>
          <w:marBottom w:val="0"/>
          <w:divBdr>
            <w:top w:val="none" w:sz="0" w:space="0" w:color="auto"/>
            <w:left w:val="none" w:sz="0" w:space="0" w:color="auto"/>
            <w:bottom w:val="none" w:sz="0" w:space="0" w:color="auto"/>
            <w:right w:val="none" w:sz="0" w:space="0" w:color="auto"/>
          </w:divBdr>
        </w:div>
        <w:div w:id="1318418175">
          <w:marLeft w:val="274"/>
          <w:marRight w:val="0"/>
          <w:marTop w:val="60"/>
          <w:marBottom w:val="0"/>
          <w:divBdr>
            <w:top w:val="none" w:sz="0" w:space="0" w:color="auto"/>
            <w:left w:val="none" w:sz="0" w:space="0" w:color="auto"/>
            <w:bottom w:val="none" w:sz="0" w:space="0" w:color="auto"/>
            <w:right w:val="none" w:sz="0" w:space="0" w:color="auto"/>
          </w:divBdr>
        </w:div>
        <w:div w:id="1277714965">
          <w:marLeft w:val="274"/>
          <w:marRight w:val="0"/>
          <w:marTop w:val="60"/>
          <w:marBottom w:val="0"/>
          <w:divBdr>
            <w:top w:val="none" w:sz="0" w:space="0" w:color="auto"/>
            <w:left w:val="none" w:sz="0" w:space="0" w:color="auto"/>
            <w:bottom w:val="none" w:sz="0" w:space="0" w:color="auto"/>
            <w:right w:val="none" w:sz="0" w:space="0" w:color="auto"/>
          </w:divBdr>
        </w:div>
        <w:div w:id="2058894882">
          <w:marLeft w:val="274"/>
          <w:marRight w:val="0"/>
          <w:marTop w:val="60"/>
          <w:marBottom w:val="0"/>
          <w:divBdr>
            <w:top w:val="none" w:sz="0" w:space="0" w:color="auto"/>
            <w:left w:val="none" w:sz="0" w:space="0" w:color="auto"/>
            <w:bottom w:val="none" w:sz="0" w:space="0" w:color="auto"/>
            <w:right w:val="none" w:sz="0" w:space="0" w:color="auto"/>
          </w:divBdr>
        </w:div>
        <w:div w:id="1589265040">
          <w:marLeft w:val="274"/>
          <w:marRight w:val="0"/>
          <w:marTop w:val="60"/>
          <w:marBottom w:val="0"/>
          <w:divBdr>
            <w:top w:val="none" w:sz="0" w:space="0" w:color="auto"/>
            <w:left w:val="none" w:sz="0" w:space="0" w:color="auto"/>
            <w:bottom w:val="none" w:sz="0" w:space="0" w:color="auto"/>
            <w:right w:val="none" w:sz="0" w:space="0" w:color="auto"/>
          </w:divBdr>
        </w:div>
      </w:divsChild>
    </w:div>
    <w:div w:id="933049038">
      <w:bodyDiv w:val="1"/>
      <w:marLeft w:val="0"/>
      <w:marRight w:val="0"/>
      <w:marTop w:val="0"/>
      <w:marBottom w:val="0"/>
      <w:divBdr>
        <w:top w:val="none" w:sz="0" w:space="0" w:color="auto"/>
        <w:left w:val="none" w:sz="0" w:space="0" w:color="auto"/>
        <w:bottom w:val="none" w:sz="0" w:space="0" w:color="auto"/>
        <w:right w:val="none" w:sz="0" w:space="0" w:color="auto"/>
      </w:divBdr>
      <w:divsChild>
        <w:div w:id="1885368460">
          <w:marLeft w:val="274"/>
          <w:marRight w:val="0"/>
          <w:marTop w:val="60"/>
          <w:marBottom w:val="0"/>
          <w:divBdr>
            <w:top w:val="none" w:sz="0" w:space="0" w:color="auto"/>
            <w:left w:val="none" w:sz="0" w:space="0" w:color="auto"/>
            <w:bottom w:val="none" w:sz="0" w:space="0" w:color="auto"/>
            <w:right w:val="none" w:sz="0" w:space="0" w:color="auto"/>
          </w:divBdr>
        </w:div>
        <w:div w:id="1982267539">
          <w:marLeft w:val="274"/>
          <w:marRight w:val="0"/>
          <w:marTop w:val="60"/>
          <w:marBottom w:val="0"/>
          <w:divBdr>
            <w:top w:val="none" w:sz="0" w:space="0" w:color="auto"/>
            <w:left w:val="none" w:sz="0" w:space="0" w:color="auto"/>
            <w:bottom w:val="none" w:sz="0" w:space="0" w:color="auto"/>
            <w:right w:val="none" w:sz="0" w:space="0" w:color="auto"/>
          </w:divBdr>
        </w:div>
        <w:div w:id="838958441">
          <w:marLeft w:val="274"/>
          <w:marRight w:val="0"/>
          <w:marTop w:val="60"/>
          <w:marBottom w:val="0"/>
          <w:divBdr>
            <w:top w:val="none" w:sz="0" w:space="0" w:color="auto"/>
            <w:left w:val="none" w:sz="0" w:space="0" w:color="auto"/>
            <w:bottom w:val="none" w:sz="0" w:space="0" w:color="auto"/>
            <w:right w:val="none" w:sz="0" w:space="0" w:color="auto"/>
          </w:divBdr>
        </w:div>
        <w:div w:id="1965454723">
          <w:marLeft w:val="274"/>
          <w:marRight w:val="0"/>
          <w:marTop w:val="60"/>
          <w:marBottom w:val="0"/>
          <w:divBdr>
            <w:top w:val="none" w:sz="0" w:space="0" w:color="auto"/>
            <w:left w:val="none" w:sz="0" w:space="0" w:color="auto"/>
            <w:bottom w:val="none" w:sz="0" w:space="0" w:color="auto"/>
            <w:right w:val="none" w:sz="0" w:space="0" w:color="auto"/>
          </w:divBdr>
        </w:div>
        <w:div w:id="1460031343">
          <w:marLeft w:val="274"/>
          <w:marRight w:val="0"/>
          <w:marTop w:val="60"/>
          <w:marBottom w:val="0"/>
          <w:divBdr>
            <w:top w:val="none" w:sz="0" w:space="0" w:color="auto"/>
            <w:left w:val="none" w:sz="0" w:space="0" w:color="auto"/>
            <w:bottom w:val="none" w:sz="0" w:space="0" w:color="auto"/>
            <w:right w:val="none" w:sz="0" w:space="0" w:color="auto"/>
          </w:divBdr>
        </w:div>
        <w:div w:id="238172941">
          <w:marLeft w:val="274"/>
          <w:marRight w:val="0"/>
          <w:marTop w:val="60"/>
          <w:marBottom w:val="0"/>
          <w:divBdr>
            <w:top w:val="none" w:sz="0" w:space="0" w:color="auto"/>
            <w:left w:val="none" w:sz="0" w:space="0" w:color="auto"/>
            <w:bottom w:val="none" w:sz="0" w:space="0" w:color="auto"/>
            <w:right w:val="none" w:sz="0" w:space="0" w:color="auto"/>
          </w:divBdr>
        </w:div>
        <w:div w:id="1732536509">
          <w:marLeft w:val="274"/>
          <w:marRight w:val="0"/>
          <w:marTop w:val="60"/>
          <w:marBottom w:val="0"/>
          <w:divBdr>
            <w:top w:val="none" w:sz="0" w:space="0" w:color="auto"/>
            <w:left w:val="none" w:sz="0" w:space="0" w:color="auto"/>
            <w:bottom w:val="none" w:sz="0" w:space="0" w:color="auto"/>
            <w:right w:val="none" w:sz="0" w:space="0" w:color="auto"/>
          </w:divBdr>
        </w:div>
      </w:divsChild>
    </w:div>
    <w:div w:id="1027758808">
      <w:bodyDiv w:val="1"/>
      <w:marLeft w:val="0"/>
      <w:marRight w:val="0"/>
      <w:marTop w:val="0"/>
      <w:marBottom w:val="0"/>
      <w:divBdr>
        <w:top w:val="none" w:sz="0" w:space="0" w:color="auto"/>
        <w:left w:val="none" w:sz="0" w:space="0" w:color="auto"/>
        <w:bottom w:val="none" w:sz="0" w:space="0" w:color="auto"/>
        <w:right w:val="none" w:sz="0" w:space="0" w:color="auto"/>
      </w:divBdr>
      <w:divsChild>
        <w:div w:id="448549831">
          <w:marLeft w:val="619"/>
          <w:marRight w:val="0"/>
          <w:marTop w:val="60"/>
          <w:marBottom w:val="0"/>
          <w:divBdr>
            <w:top w:val="none" w:sz="0" w:space="0" w:color="auto"/>
            <w:left w:val="none" w:sz="0" w:space="0" w:color="auto"/>
            <w:bottom w:val="none" w:sz="0" w:space="0" w:color="auto"/>
            <w:right w:val="none" w:sz="0" w:space="0" w:color="auto"/>
          </w:divBdr>
        </w:div>
        <w:div w:id="1740446094">
          <w:marLeft w:val="619"/>
          <w:marRight w:val="0"/>
          <w:marTop w:val="60"/>
          <w:marBottom w:val="0"/>
          <w:divBdr>
            <w:top w:val="none" w:sz="0" w:space="0" w:color="auto"/>
            <w:left w:val="none" w:sz="0" w:space="0" w:color="auto"/>
            <w:bottom w:val="none" w:sz="0" w:space="0" w:color="auto"/>
            <w:right w:val="none" w:sz="0" w:space="0" w:color="auto"/>
          </w:divBdr>
        </w:div>
        <w:div w:id="1275820378">
          <w:marLeft w:val="619"/>
          <w:marRight w:val="0"/>
          <w:marTop w:val="60"/>
          <w:marBottom w:val="0"/>
          <w:divBdr>
            <w:top w:val="none" w:sz="0" w:space="0" w:color="auto"/>
            <w:left w:val="none" w:sz="0" w:space="0" w:color="auto"/>
            <w:bottom w:val="none" w:sz="0" w:space="0" w:color="auto"/>
            <w:right w:val="none" w:sz="0" w:space="0" w:color="auto"/>
          </w:divBdr>
        </w:div>
        <w:div w:id="1072435513">
          <w:marLeft w:val="619"/>
          <w:marRight w:val="0"/>
          <w:marTop w:val="60"/>
          <w:marBottom w:val="0"/>
          <w:divBdr>
            <w:top w:val="none" w:sz="0" w:space="0" w:color="auto"/>
            <w:left w:val="none" w:sz="0" w:space="0" w:color="auto"/>
            <w:bottom w:val="none" w:sz="0" w:space="0" w:color="auto"/>
            <w:right w:val="none" w:sz="0" w:space="0" w:color="auto"/>
          </w:divBdr>
        </w:div>
        <w:div w:id="821625173">
          <w:marLeft w:val="619"/>
          <w:marRight w:val="0"/>
          <w:marTop w:val="60"/>
          <w:marBottom w:val="0"/>
          <w:divBdr>
            <w:top w:val="none" w:sz="0" w:space="0" w:color="auto"/>
            <w:left w:val="none" w:sz="0" w:space="0" w:color="auto"/>
            <w:bottom w:val="none" w:sz="0" w:space="0" w:color="auto"/>
            <w:right w:val="none" w:sz="0" w:space="0" w:color="auto"/>
          </w:divBdr>
        </w:div>
        <w:div w:id="175581692">
          <w:marLeft w:val="619"/>
          <w:marRight w:val="0"/>
          <w:marTop w:val="60"/>
          <w:marBottom w:val="0"/>
          <w:divBdr>
            <w:top w:val="none" w:sz="0" w:space="0" w:color="auto"/>
            <w:left w:val="none" w:sz="0" w:space="0" w:color="auto"/>
            <w:bottom w:val="none" w:sz="0" w:space="0" w:color="auto"/>
            <w:right w:val="none" w:sz="0" w:space="0" w:color="auto"/>
          </w:divBdr>
        </w:div>
        <w:div w:id="680353417">
          <w:marLeft w:val="619"/>
          <w:marRight w:val="0"/>
          <w:marTop w:val="60"/>
          <w:marBottom w:val="0"/>
          <w:divBdr>
            <w:top w:val="none" w:sz="0" w:space="0" w:color="auto"/>
            <w:left w:val="none" w:sz="0" w:space="0" w:color="auto"/>
            <w:bottom w:val="none" w:sz="0" w:space="0" w:color="auto"/>
            <w:right w:val="none" w:sz="0" w:space="0" w:color="auto"/>
          </w:divBdr>
        </w:div>
        <w:div w:id="1192306852">
          <w:marLeft w:val="619"/>
          <w:marRight w:val="0"/>
          <w:marTop w:val="60"/>
          <w:marBottom w:val="0"/>
          <w:divBdr>
            <w:top w:val="none" w:sz="0" w:space="0" w:color="auto"/>
            <w:left w:val="none" w:sz="0" w:space="0" w:color="auto"/>
            <w:bottom w:val="none" w:sz="0" w:space="0" w:color="auto"/>
            <w:right w:val="none" w:sz="0" w:space="0" w:color="auto"/>
          </w:divBdr>
        </w:div>
      </w:divsChild>
    </w:div>
    <w:div w:id="1080103924">
      <w:bodyDiv w:val="1"/>
      <w:marLeft w:val="0"/>
      <w:marRight w:val="0"/>
      <w:marTop w:val="0"/>
      <w:marBottom w:val="0"/>
      <w:divBdr>
        <w:top w:val="none" w:sz="0" w:space="0" w:color="auto"/>
        <w:left w:val="none" w:sz="0" w:space="0" w:color="auto"/>
        <w:bottom w:val="none" w:sz="0" w:space="0" w:color="auto"/>
        <w:right w:val="none" w:sz="0" w:space="0" w:color="auto"/>
      </w:divBdr>
      <w:divsChild>
        <w:div w:id="2130313708">
          <w:marLeft w:val="274"/>
          <w:marRight w:val="0"/>
          <w:marTop w:val="60"/>
          <w:marBottom w:val="0"/>
          <w:divBdr>
            <w:top w:val="none" w:sz="0" w:space="0" w:color="auto"/>
            <w:left w:val="none" w:sz="0" w:space="0" w:color="auto"/>
            <w:bottom w:val="none" w:sz="0" w:space="0" w:color="auto"/>
            <w:right w:val="none" w:sz="0" w:space="0" w:color="auto"/>
          </w:divBdr>
        </w:div>
        <w:div w:id="1976637223">
          <w:marLeft w:val="274"/>
          <w:marRight w:val="0"/>
          <w:marTop w:val="60"/>
          <w:marBottom w:val="0"/>
          <w:divBdr>
            <w:top w:val="none" w:sz="0" w:space="0" w:color="auto"/>
            <w:left w:val="none" w:sz="0" w:space="0" w:color="auto"/>
            <w:bottom w:val="none" w:sz="0" w:space="0" w:color="auto"/>
            <w:right w:val="none" w:sz="0" w:space="0" w:color="auto"/>
          </w:divBdr>
        </w:div>
        <w:div w:id="932008000">
          <w:marLeft w:val="274"/>
          <w:marRight w:val="0"/>
          <w:marTop w:val="60"/>
          <w:marBottom w:val="0"/>
          <w:divBdr>
            <w:top w:val="none" w:sz="0" w:space="0" w:color="auto"/>
            <w:left w:val="none" w:sz="0" w:space="0" w:color="auto"/>
            <w:bottom w:val="none" w:sz="0" w:space="0" w:color="auto"/>
            <w:right w:val="none" w:sz="0" w:space="0" w:color="auto"/>
          </w:divBdr>
        </w:div>
        <w:div w:id="1314944726">
          <w:marLeft w:val="274"/>
          <w:marRight w:val="0"/>
          <w:marTop w:val="60"/>
          <w:marBottom w:val="0"/>
          <w:divBdr>
            <w:top w:val="none" w:sz="0" w:space="0" w:color="auto"/>
            <w:left w:val="none" w:sz="0" w:space="0" w:color="auto"/>
            <w:bottom w:val="none" w:sz="0" w:space="0" w:color="auto"/>
            <w:right w:val="none" w:sz="0" w:space="0" w:color="auto"/>
          </w:divBdr>
        </w:div>
        <w:div w:id="1384793292">
          <w:marLeft w:val="274"/>
          <w:marRight w:val="0"/>
          <w:marTop w:val="60"/>
          <w:marBottom w:val="0"/>
          <w:divBdr>
            <w:top w:val="none" w:sz="0" w:space="0" w:color="auto"/>
            <w:left w:val="none" w:sz="0" w:space="0" w:color="auto"/>
            <w:bottom w:val="none" w:sz="0" w:space="0" w:color="auto"/>
            <w:right w:val="none" w:sz="0" w:space="0" w:color="auto"/>
          </w:divBdr>
        </w:div>
        <w:div w:id="1242567041">
          <w:marLeft w:val="274"/>
          <w:marRight w:val="0"/>
          <w:marTop w:val="60"/>
          <w:marBottom w:val="0"/>
          <w:divBdr>
            <w:top w:val="none" w:sz="0" w:space="0" w:color="auto"/>
            <w:left w:val="none" w:sz="0" w:space="0" w:color="auto"/>
            <w:bottom w:val="none" w:sz="0" w:space="0" w:color="auto"/>
            <w:right w:val="none" w:sz="0" w:space="0" w:color="auto"/>
          </w:divBdr>
        </w:div>
        <w:div w:id="1644850485">
          <w:marLeft w:val="274"/>
          <w:marRight w:val="0"/>
          <w:marTop w:val="60"/>
          <w:marBottom w:val="0"/>
          <w:divBdr>
            <w:top w:val="none" w:sz="0" w:space="0" w:color="auto"/>
            <w:left w:val="none" w:sz="0" w:space="0" w:color="auto"/>
            <w:bottom w:val="none" w:sz="0" w:space="0" w:color="auto"/>
            <w:right w:val="none" w:sz="0" w:space="0" w:color="auto"/>
          </w:divBdr>
        </w:div>
      </w:divsChild>
    </w:div>
    <w:div w:id="1523545740">
      <w:bodyDiv w:val="1"/>
      <w:marLeft w:val="0"/>
      <w:marRight w:val="0"/>
      <w:marTop w:val="0"/>
      <w:marBottom w:val="0"/>
      <w:divBdr>
        <w:top w:val="none" w:sz="0" w:space="0" w:color="auto"/>
        <w:left w:val="none" w:sz="0" w:space="0" w:color="auto"/>
        <w:bottom w:val="none" w:sz="0" w:space="0" w:color="auto"/>
        <w:right w:val="none" w:sz="0" w:space="0" w:color="auto"/>
      </w:divBdr>
      <w:divsChild>
        <w:div w:id="1412043629">
          <w:marLeft w:val="446"/>
          <w:marRight w:val="0"/>
          <w:marTop w:val="0"/>
          <w:marBottom w:val="0"/>
          <w:divBdr>
            <w:top w:val="none" w:sz="0" w:space="0" w:color="auto"/>
            <w:left w:val="none" w:sz="0" w:space="0" w:color="auto"/>
            <w:bottom w:val="none" w:sz="0" w:space="0" w:color="auto"/>
            <w:right w:val="none" w:sz="0" w:space="0" w:color="auto"/>
          </w:divBdr>
        </w:div>
        <w:div w:id="1814179292">
          <w:marLeft w:val="446"/>
          <w:marRight w:val="0"/>
          <w:marTop w:val="0"/>
          <w:marBottom w:val="0"/>
          <w:divBdr>
            <w:top w:val="none" w:sz="0" w:space="0" w:color="auto"/>
            <w:left w:val="none" w:sz="0" w:space="0" w:color="auto"/>
            <w:bottom w:val="none" w:sz="0" w:space="0" w:color="auto"/>
            <w:right w:val="none" w:sz="0" w:space="0" w:color="auto"/>
          </w:divBdr>
        </w:div>
      </w:divsChild>
    </w:div>
    <w:div w:id="2100173201">
      <w:bodyDiv w:val="1"/>
      <w:marLeft w:val="0"/>
      <w:marRight w:val="0"/>
      <w:marTop w:val="0"/>
      <w:marBottom w:val="0"/>
      <w:divBdr>
        <w:top w:val="none" w:sz="0" w:space="0" w:color="auto"/>
        <w:left w:val="none" w:sz="0" w:space="0" w:color="auto"/>
        <w:bottom w:val="none" w:sz="0" w:space="0" w:color="auto"/>
        <w:right w:val="none" w:sz="0" w:space="0" w:color="auto"/>
      </w:divBdr>
      <w:divsChild>
        <w:div w:id="800730858">
          <w:marLeft w:val="446"/>
          <w:marRight w:val="0"/>
          <w:marTop w:val="0"/>
          <w:marBottom w:val="0"/>
          <w:divBdr>
            <w:top w:val="none" w:sz="0" w:space="0" w:color="auto"/>
            <w:left w:val="none" w:sz="0" w:space="0" w:color="auto"/>
            <w:bottom w:val="none" w:sz="0" w:space="0" w:color="auto"/>
            <w:right w:val="none" w:sz="0" w:space="0" w:color="auto"/>
          </w:divBdr>
        </w:div>
        <w:div w:id="32644703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wk\AppData\Local\Temp\Templafy\WordVsto\2jncx5s3.dotx" TargetMode="External"/></Relationships>
</file>

<file path=word/theme/theme1.xml><?xml version="1.0" encoding="utf-8"?>
<a:theme xmlns:a="http://schemas.openxmlformats.org/drawingml/2006/main" name="Office Theme">
  <a:themeElements>
    <a:clrScheme name="__LoyensLoeff">
      <a:dk1>
        <a:srgbClr val="000000"/>
      </a:dk1>
      <a:lt1>
        <a:srgbClr val="FFFFFF"/>
      </a:lt1>
      <a:dk2>
        <a:srgbClr val="4D4D4F"/>
      </a:dk2>
      <a:lt2>
        <a:srgbClr val="06357A"/>
      </a:lt2>
      <a:accent1>
        <a:srgbClr val="06357A"/>
      </a:accent1>
      <a:accent2>
        <a:srgbClr val="00A2E0"/>
      </a:accent2>
      <a:accent3>
        <a:srgbClr val="98C6EC"/>
      </a:accent3>
      <a:accent4>
        <a:srgbClr val="BEDCF4"/>
      </a:accent4>
      <a:accent5>
        <a:srgbClr val="E2F0F6"/>
      </a:accent5>
      <a:accent6>
        <a:srgbClr val="FFFFFF"/>
      </a:accent6>
      <a:hlink>
        <a:srgbClr val="215E9E"/>
      </a:hlink>
      <a:folHlink>
        <a:srgbClr val="215E9E"/>
      </a:folHlink>
    </a:clrScheme>
    <a:fontScheme name="_Kinstella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 - arial 10","templateDescription":"","enableDocumentContentUpdater":false,"version":"2.0"}]]></TemplafyTemplateConfiguration>
</file>

<file path=customXml/itemProps1.xml><?xml version="1.0" encoding="utf-8"?>
<ds:datastoreItem xmlns:ds="http://schemas.openxmlformats.org/officeDocument/2006/customXml" ds:itemID="{F4E26A2F-CDB8-4F0A-9F24-69D99A5EB09E}">
  <ds:schemaRefs/>
</ds:datastoreItem>
</file>

<file path=customXml/itemProps2.xml><?xml version="1.0" encoding="utf-8"?>
<ds:datastoreItem xmlns:ds="http://schemas.openxmlformats.org/officeDocument/2006/customXml" ds:itemID="{25DB9156-77CC-46E6-BC41-BFD3699C2F66}">
  <ds:schemaRefs/>
</ds:datastoreItem>
</file>

<file path=docProps/app.xml><?xml version="1.0" encoding="utf-8"?>
<Properties xmlns="http://schemas.openxmlformats.org/officeDocument/2006/extended-properties" xmlns:vt="http://schemas.openxmlformats.org/officeDocument/2006/docPropsVTypes">
  <Template>2jncx5s3</Template>
  <TotalTime>0</TotalTime>
  <Pages>6</Pages>
  <Words>1827</Words>
  <Characters>9454</Characters>
  <Application>Microsoft Office Word</Application>
  <DocSecurity>0</DocSecurity>
  <Lines>207</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Loyens &amp; Loeff</dc:creator>
  <cp:keywords/>
  <dc:description/>
  <cp:lastModifiedBy>Kwinten Dewaele</cp:lastModifiedBy>
  <cp:revision>2</cp:revision>
  <dcterms:created xsi:type="dcterms:W3CDTF">2026-04-06T19:31:00Z</dcterms:created>
  <dcterms:modified xsi:type="dcterms:W3CDTF">2026-04-06T19:32:00Z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loyensloeff</vt:lpwstr>
  </property>
  <property fmtid="{D5CDD505-2E9C-101B-9397-08002B2CF9AE}" pid="3" name="TemplafyTemplateId">
    <vt:lpwstr>1142491709396222032</vt:lpwstr>
  </property>
  <property fmtid="{D5CDD505-2E9C-101B-9397-08002B2CF9AE}" pid="4" name="TemplafyUserProfileId">
    <vt:lpwstr>1258842622578655235</vt:lpwstr>
  </property>
  <property fmtid="{D5CDD505-2E9C-101B-9397-08002B2CF9AE}" pid="5" name="TemplafyFromBlank">
    <vt:bool>true</vt:bool>
  </property>
</Properties>
</file>