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32B61" w14:textId="35B47711" w:rsidR="00D8681C" w:rsidRDefault="00DC1118" w:rsidP="00DC1118">
      <w:pPr>
        <w:pStyle w:val="BodyText"/>
        <w:jc w:val="center"/>
        <w:rPr>
          <w:b/>
          <w:bCs/>
          <w:color w:val="auto"/>
          <w:sz w:val="48"/>
          <w:szCs w:val="48"/>
          <w:lang w:val="en-US"/>
        </w:rPr>
      </w:pPr>
      <w:r>
        <w:rPr>
          <w:b/>
          <w:bCs/>
          <w:color w:val="auto"/>
          <w:sz w:val="48"/>
          <w:szCs w:val="48"/>
          <w:lang w:val="en-US"/>
        </w:rPr>
        <w:t>VEIL PIERCING</w:t>
      </w:r>
    </w:p>
    <w:p w14:paraId="64427712" w14:textId="2F3FD3BC" w:rsidR="00DC1118" w:rsidRDefault="00DC1118" w:rsidP="00DC1118">
      <w:pPr>
        <w:pStyle w:val="BodyText"/>
        <w:jc w:val="both"/>
        <w:rPr>
          <w:b/>
          <w:bCs/>
          <w:color w:val="auto"/>
          <w:sz w:val="32"/>
          <w:szCs w:val="32"/>
          <w:lang w:val="en-US"/>
        </w:rPr>
      </w:pPr>
      <w:r>
        <w:rPr>
          <w:b/>
          <w:bCs/>
          <w:color w:val="auto"/>
          <w:sz w:val="32"/>
          <w:szCs w:val="32"/>
          <w:lang w:val="en-US"/>
        </w:rPr>
        <w:t>Introduction</w:t>
      </w:r>
    </w:p>
    <w:p w14:paraId="31069453" w14:textId="5DC11663" w:rsidR="00DC1118" w:rsidRDefault="00DC1118" w:rsidP="00DC1118">
      <w:pPr>
        <w:pStyle w:val="BodyText"/>
        <w:jc w:val="both"/>
        <w:rPr>
          <w:color w:val="auto"/>
          <w:sz w:val="24"/>
          <w:szCs w:val="24"/>
          <w:lang w:val="en-US"/>
        </w:rPr>
      </w:pPr>
      <w:r>
        <w:rPr>
          <w:color w:val="auto"/>
          <w:sz w:val="24"/>
          <w:szCs w:val="24"/>
          <w:lang w:val="en-US"/>
        </w:rPr>
        <w:t xml:space="preserve">In the previous chapters, we have discussed how limited liability is one of the main characteristics of companies under various legal systems. It has become clear that limited liability has considerable advantages, including a reduction in monitoring costs and a stimulus for portfolio diversification. </w:t>
      </w:r>
    </w:p>
    <w:p w14:paraId="26A1ABC4" w14:textId="4BD7E362" w:rsidR="00DC1118" w:rsidRDefault="00DC1118" w:rsidP="00DC1118">
      <w:pPr>
        <w:pStyle w:val="BodyText"/>
        <w:jc w:val="both"/>
        <w:rPr>
          <w:color w:val="auto"/>
          <w:sz w:val="24"/>
          <w:szCs w:val="24"/>
          <w:lang w:val="en-US"/>
        </w:rPr>
      </w:pPr>
      <w:r>
        <w:rPr>
          <w:color w:val="auto"/>
          <w:sz w:val="24"/>
          <w:szCs w:val="24"/>
          <w:lang w:val="en-US"/>
        </w:rPr>
        <w:t xml:space="preserve">However, limited liability also has its downsides. The creation of limited </w:t>
      </w:r>
      <w:proofErr w:type="gramStart"/>
      <w:r>
        <w:rPr>
          <w:color w:val="auto"/>
          <w:sz w:val="24"/>
          <w:szCs w:val="24"/>
          <w:lang w:val="en-US"/>
        </w:rPr>
        <w:t>downside</w:t>
      </w:r>
      <w:proofErr w:type="gramEnd"/>
      <w:r>
        <w:rPr>
          <w:color w:val="auto"/>
          <w:sz w:val="24"/>
          <w:szCs w:val="24"/>
          <w:lang w:val="en-US"/>
        </w:rPr>
        <w:t xml:space="preserve"> in combination with a theoretical unlimited upside provides an incentive for risk-taking behavior that can lead to moral hazard, short-termism and encumbering the company with too much debt. Capital and the rules on capital maintenance is one, albeit imperfect way, to help solve this problem. Other ways to address this problem can be found in the rules on veil piercing and group law. </w:t>
      </w:r>
    </w:p>
    <w:p w14:paraId="5CB25E55" w14:textId="3DBFA5DD" w:rsidR="00776550" w:rsidRDefault="00776550" w:rsidP="00DC1118">
      <w:pPr>
        <w:pStyle w:val="BodyText"/>
        <w:jc w:val="both"/>
        <w:rPr>
          <w:color w:val="auto"/>
          <w:sz w:val="24"/>
          <w:szCs w:val="24"/>
          <w:lang w:val="en-US"/>
        </w:rPr>
      </w:pPr>
      <w:r>
        <w:rPr>
          <w:color w:val="auto"/>
          <w:sz w:val="24"/>
          <w:szCs w:val="24"/>
          <w:lang w:val="en-US"/>
        </w:rPr>
        <w:t xml:space="preserve">Veil piercing, in </w:t>
      </w:r>
      <w:proofErr w:type="gramStart"/>
      <w:r>
        <w:rPr>
          <w:color w:val="auto"/>
          <w:sz w:val="24"/>
          <w:szCs w:val="24"/>
          <w:lang w:val="en-US"/>
        </w:rPr>
        <w:t>the</w:t>
      </w:r>
      <w:proofErr w:type="gramEnd"/>
      <w:r>
        <w:rPr>
          <w:color w:val="auto"/>
          <w:sz w:val="24"/>
          <w:szCs w:val="24"/>
          <w:lang w:val="en-US"/>
        </w:rPr>
        <w:t xml:space="preserve"> broad sense, refers to every situation where limited liability is set aside. This can happen voluntarily (e.g., when a shareholder becomes a guarantor for the company) or involuntarily. Rules on veil piercing are especially prevalent in group law.</w:t>
      </w:r>
    </w:p>
    <w:p w14:paraId="56DD3D1A" w14:textId="4164FCE4" w:rsidR="00DC1118" w:rsidRDefault="00DC1118" w:rsidP="00DC1118">
      <w:pPr>
        <w:pStyle w:val="BodyText"/>
        <w:jc w:val="both"/>
        <w:rPr>
          <w:color w:val="auto"/>
          <w:sz w:val="24"/>
          <w:szCs w:val="24"/>
          <w:lang w:val="en-US"/>
        </w:rPr>
      </w:pPr>
      <w:r>
        <w:rPr>
          <w:color w:val="auto"/>
          <w:sz w:val="24"/>
          <w:szCs w:val="24"/>
          <w:lang w:val="en-US"/>
        </w:rPr>
        <w:t xml:space="preserve">In practice, companies are often part of a bigger “corporate group”. Groups, however, </w:t>
      </w:r>
      <w:r w:rsidR="00776550">
        <w:rPr>
          <w:color w:val="auto"/>
          <w:sz w:val="24"/>
          <w:szCs w:val="24"/>
          <w:lang w:val="en-US"/>
        </w:rPr>
        <w:t xml:space="preserve">also reinforce the problem of the limited liability. For example, within a group, one company can hold all the assets, whereas other companies can be used to carry the group’s debt. To counter this behavior, group law often </w:t>
      </w:r>
      <w:proofErr w:type="gramStart"/>
      <w:r w:rsidR="00776550">
        <w:rPr>
          <w:color w:val="auto"/>
          <w:sz w:val="24"/>
          <w:szCs w:val="24"/>
          <w:lang w:val="en-US"/>
        </w:rPr>
        <w:t>provides for</w:t>
      </w:r>
      <w:proofErr w:type="gramEnd"/>
      <w:r w:rsidR="00776550">
        <w:rPr>
          <w:color w:val="auto"/>
          <w:sz w:val="24"/>
          <w:szCs w:val="24"/>
          <w:lang w:val="en-US"/>
        </w:rPr>
        <w:t xml:space="preserve"> variants of veil piercing, i.e., parental liability. </w:t>
      </w:r>
    </w:p>
    <w:p w14:paraId="5E17E50D" w14:textId="380188A6" w:rsidR="00776550" w:rsidRDefault="00776550" w:rsidP="00DC1118">
      <w:pPr>
        <w:pStyle w:val="BodyText"/>
        <w:jc w:val="both"/>
        <w:rPr>
          <w:color w:val="auto"/>
          <w:sz w:val="24"/>
          <w:szCs w:val="24"/>
          <w:lang w:val="en-US"/>
        </w:rPr>
      </w:pPr>
      <w:r>
        <w:rPr>
          <w:color w:val="auto"/>
          <w:sz w:val="24"/>
          <w:szCs w:val="24"/>
          <w:lang w:val="en-US"/>
        </w:rPr>
        <w:t xml:space="preserve">Veil piercing and parental liability, however, are often not found is systematized theory, but rather grounded in a case-by-case approach or specific legal rules designed to address one specific problem. This piecemeal approach often hampers our understanding of veil piercing. </w:t>
      </w:r>
      <w:r w:rsidR="00782437">
        <w:rPr>
          <w:color w:val="auto"/>
          <w:sz w:val="24"/>
          <w:szCs w:val="24"/>
          <w:lang w:val="en-US"/>
        </w:rPr>
        <w:t xml:space="preserve">We will try to find some main approaches to veil piercing, being aware, </w:t>
      </w:r>
      <w:proofErr w:type="gramStart"/>
      <w:r w:rsidR="00782437">
        <w:rPr>
          <w:color w:val="auto"/>
          <w:sz w:val="24"/>
          <w:szCs w:val="24"/>
          <w:lang w:val="en-US"/>
        </w:rPr>
        <w:t>however</w:t>
      </w:r>
      <w:proofErr w:type="gramEnd"/>
      <w:r w:rsidR="00782437">
        <w:rPr>
          <w:color w:val="auto"/>
          <w:sz w:val="24"/>
          <w:szCs w:val="24"/>
          <w:lang w:val="en-US"/>
        </w:rPr>
        <w:t xml:space="preserve"> that there is no overarching theory. Also note that in the European Union, veil piercing is left the laws of the Member States and has no legal basis in the CLP. In the United States, veil piercing is considered to fall under the “internal affairs” of a company and hence is regulated (in principle) by State company law.</w:t>
      </w:r>
    </w:p>
    <w:p w14:paraId="28A25773" w14:textId="7F4BD3F7" w:rsidR="007903C4" w:rsidRDefault="007903C4" w:rsidP="00772F39">
      <w:pPr>
        <w:pStyle w:val="BodyText"/>
        <w:jc w:val="both"/>
        <w:rPr>
          <w:b/>
          <w:bCs/>
          <w:color w:val="auto"/>
          <w:sz w:val="24"/>
          <w:szCs w:val="24"/>
          <w:lang w:val="it-IT"/>
        </w:rPr>
      </w:pPr>
      <w:r w:rsidRPr="00772F39">
        <w:rPr>
          <w:b/>
          <w:bCs/>
          <w:color w:val="auto"/>
          <w:sz w:val="24"/>
          <w:szCs w:val="24"/>
          <w:lang w:val="it-IT"/>
        </w:rPr>
        <w:t xml:space="preserve">Read: </w:t>
      </w:r>
      <w:proofErr w:type="spellStart"/>
      <w:r w:rsidRPr="00772F39">
        <w:rPr>
          <w:b/>
          <w:bCs/>
          <w:i/>
          <w:iCs/>
          <w:color w:val="auto"/>
          <w:sz w:val="24"/>
          <w:szCs w:val="24"/>
          <w:lang w:val="it-IT"/>
        </w:rPr>
        <w:t>Idrima</w:t>
      </w:r>
      <w:proofErr w:type="spellEnd"/>
      <w:r w:rsidRPr="00772F39">
        <w:rPr>
          <w:b/>
          <w:bCs/>
          <w:i/>
          <w:iCs/>
          <w:color w:val="auto"/>
          <w:sz w:val="24"/>
          <w:szCs w:val="24"/>
          <w:lang w:val="it-IT"/>
        </w:rPr>
        <w:t xml:space="preserve"> </w:t>
      </w:r>
      <w:proofErr w:type="spellStart"/>
      <w:r w:rsidRPr="00772F39">
        <w:rPr>
          <w:b/>
          <w:bCs/>
          <w:i/>
          <w:iCs/>
          <w:color w:val="auto"/>
          <w:sz w:val="24"/>
          <w:szCs w:val="24"/>
          <w:lang w:val="it-IT"/>
        </w:rPr>
        <w:t>Tipou</w:t>
      </w:r>
      <w:proofErr w:type="spellEnd"/>
      <w:r w:rsidRPr="00772F39">
        <w:rPr>
          <w:b/>
          <w:bCs/>
          <w:i/>
          <w:iCs/>
          <w:color w:val="auto"/>
          <w:sz w:val="24"/>
          <w:szCs w:val="24"/>
          <w:lang w:val="it-IT"/>
        </w:rPr>
        <w:t xml:space="preserve"> </w:t>
      </w:r>
      <w:r w:rsidRPr="00772F39">
        <w:rPr>
          <w:b/>
          <w:bCs/>
          <w:color w:val="auto"/>
          <w:sz w:val="24"/>
          <w:szCs w:val="24"/>
          <w:lang w:val="it-IT"/>
        </w:rPr>
        <w:t>(</w:t>
      </w:r>
      <w:r w:rsidR="00772F39" w:rsidRPr="00772F39">
        <w:rPr>
          <w:b/>
          <w:bCs/>
          <w:color w:val="auto"/>
          <w:sz w:val="24"/>
          <w:szCs w:val="24"/>
          <w:lang w:val="it-IT"/>
        </w:rPr>
        <w:t>C</w:t>
      </w:r>
      <w:r w:rsidR="00772F39" w:rsidRPr="00772F39">
        <w:rPr>
          <w:b/>
          <w:bCs/>
          <w:color w:val="auto"/>
          <w:sz w:val="24"/>
          <w:szCs w:val="24"/>
          <w:lang w:val="it-IT"/>
        </w:rPr>
        <w:noBreakHyphen/>
        <w:t>81/09</w:t>
      </w:r>
      <w:r w:rsidR="00772F39" w:rsidRPr="00772F39">
        <w:rPr>
          <w:b/>
          <w:bCs/>
          <w:color w:val="auto"/>
          <w:sz w:val="24"/>
          <w:szCs w:val="24"/>
          <w:lang w:val="it-IT"/>
        </w:rPr>
        <w:t>, ECJ)</w:t>
      </w:r>
    </w:p>
    <w:p w14:paraId="05FFC109" w14:textId="3EE9E48E" w:rsidR="00772F39" w:rsidRDefault="00772F39" w:rsidP="00772F39">
      <w:pPr>
        <w:pStyle w:val="BodyText"/>
        <w:jc w:val="both"/>
        <w:rPr>
          <w:i/>
          <w:iCs/>
          <w:color w:val="auto"/>
          <w:sz w:val="24"/>
          <w:szCs w:val="24"/>
          <w:lang w:val="en-US"/>
        </w:rPr>
      </w:pPr>
      <w:r>
        <w:rPr>
          <w:i/>
          <w:iCs/>
          <w:color w:val="auto"/>
          <w:sz w:val="24"/>
          <w:szCs w:val="24"/>
          <w:lang w:val="en-US"/>
        </w:rPr>
        <w:t>What are the facts, holding and the issue of this case?</w:t>
      </w:r>
    </w:p>
    <w:p w14:paraId="40B3604D" w14:textId="6EAD360F" w:rsidR="00772F39" w:rsidRDefault="00772F39" w:rsidP="00772F39">
      <w:pPr>
        <w:pStyle w:val="BodyText"/>
        <w:jc w:val="both"/>
        <w:rPr>
          <w:i/>
          <w:iCs/>
          <w:color w:val="auto"/>
          <w:sz w:val="24"/>
          <w:szCs w:val="24"/>
          <w:lang w:val="en-US"/>
        </w:rPr>
      </w:pPr>
      <w:r w:rsidRPr="00772F39">
        <w:rPr>
          <w:i/>
          <w:iCs/>
          <w:color w:val="auto"/>
          <w:sz w:val="24"/>
          <w:szCs w:val="24"/>
          <w:lang w:val="en-US"/>
        </w:rPr>
        <w:t>What can b</w:t>
      </w:r>
      <w:r>
        <w:rPr>
          <w:i/>
          <w:iCs/>
          <w:color w:val="auto"/>
          <w:sz w:val="24"/>
          <w:szCs w:val="24"/>
          <w:lang w:val="en-US"/>
        </w:rPr>
        <w:t>e derived from this case on the position of EU law regarding corporate veil piercing. Is it correct to say that veil piercing is a Member State jurisdiction?</w:t>
      </w:r>
    </w:p>
    <w:p w14:paraId="32FFEF33" w14:textId="77777777" w:rsidR="00772F39" w:rsidRDefault="00772F39" w:rsidP="00772F39">
      <w:pPr>
        <w:pStyle w:val="BodyText"/>
        <w:jc w:val="both"/>
        <w:rPr>
          <w:i/>
          <w:iCs/>
          <w:color w:val="auto"/>
          <w:sz w:val="24"/>
          <w:szCs w:val="24"/>
          <w:lang w:val="en-US"/>
        </w:rPr>
      </w:pPr>
    </w:p>
    <w:p w14:paraId="47C0E1B2" w14:textId="77777777" w:rsidR="00772F39" w:rsidRDefault="00772F39" w:rsidP="00772F39">
      <w:pPr>
        <w:pStyle w:val="BodyText"/>
        <w:jc w:val="both"/>
        <w:rPr>
          <w:i/>
          <w:iCs/>
          <w:color w:val="auto"/>
          <w:sz w:val="24"/>
          <w:szCs w:val="24"/>
          <w:lang w:val="en-US"/>
        </w:rPr>
      </w:pPr>
    </w:p>
    <w:p w14:paraId="73718C13" w14:textId="77777777" w:rsidR="00772F39" w:rsidRPr="00772F39" w:rsidRDefault="00772F39" w:rsidP="00772F39">
      <w:pPr>
        <w:pStyle w:val="BodyText"/>
        <w:jc w:val="both"/>
        <w:rPr>
          <w:i/>
          <w:iCs/>
          <w:color w:val="auto"/>
          <w:sz w:val="24"/>
          <w:szCs w:val="24"/>
          <w:lang w:val="en-US"/>
        </w:rPr>
      </w:pPr>
    </w:p>
    <w:p w14:paraId="6EB936C2" w14:textId="4697D735" w:rsidR="00782437" w:rsidRDefault="00782437" w:rsidP="00DC1118">
      <w:pPr>
        <w:pStyle w:val="BodyText"/>
        <w:jc w:val="both"/>
        <w:rPr>
          <w:b/>
          <w:bCs/>
          <w:color w:val="auto"/>
          <w:sz w:val="32"/>
          <w:szCs w:val="32"/>
          <w:lang w:val="en-US"/>
        </w:rPr>
      </w:pPr>
      <w:r>
        <w:rPr>
          <w:b/>
          <w:bCs/>
          <w:color w:val="auto"/>
          <w:sz w:val="32"/>
          <w:szCs w:val="32"/>
          <w:lang w:val="en-US"/>
        </w:rPr>
        <w:lastRenderedPageBreak/>
        <w:t>Veil piercing</w:t>
      </w:r>
    </w:p>
    <w:p w14:paraId="2CAEE307" w14:textId="4F5D21F3" w:rsidR="004901BD" w:rsidRPr="004901BD" w:rsidRDefault="004901BD" w:rsidP="00DC1118">
      <w:pPr>
        <w:pStyle w:val="BodyText"/>
        <w:jc w:val="both"/>
        <w:rPr>
          <w:color w:val="auto"/>
          <w:sz w:val="24"/>
          <w:szCs w:val="24"/>
          <w:u w:val="single"/>
          <w:lang w:val="en-US"/>
        </w:rPr>
      </w:pPr>
      <w:r w:rsidRPr="004901BD">
        <w:rPr>
          <w:color w:val="auto"/>
          <w:sz w:val="24"/>
          <w:szCs w:val="24"/>
          <w:u w:val="single"/>
          <w:lang w:val="en-US"/>
        </w:rPr>
        <w:t>Veil piercing and the limits of limited liability</w:t>
      </w:r>
    </w:p>
    <w:p w14:paraId="769F04CE" w14:textId="2FF387D6" w:rsidR="00782437" w:rsidRDefault="00782437" w:rsidP="00DC1118">
      <w:pPr>
        <w:pStyle w:val="BodyText"/>
        <w:jc w:val="both"/>
        <w:rPr>
          <w:color w:val="auto"/>
          <w:sz w:val="24"/>
          <w:szCs w:val="24"/>
          <w:lang w:val="en-US"/>
        </w:rPr>
      </w:pPr>
      <w:r>
        <w:rPr>
          <w:color w:val="auto"/>
          <w:sz w:val="24"/>
          <w:szCs w:val="24"/>
          <w:lang w:val="en-US"/>
        </w:rPr>
        <w:t>A first form of “veil piercing” can be found in the case law of US courts curtailing the notion of limited liability. In a way, this form of veil piercing occurs by limiting the scope of limited liability. There is no overarching theory to this approach, but two main “roads” to this type of veil piercing van be found in the case law of the various courts</w:t>
      </w:r>
      <w:r w:rsidR="00D4296E">
        <w:rPr>
          <w:color w:val="auto"/>
          <w:sz w:val="24"/>
          <w:szCs w:val="24"/>
          <w:lang w:val="en-US"/>
        </w:rPr>
        <w:t>: the instrumentality doctrine and the alter ego doctrine</w:t>
      </w:r>
      <w:r>
        <w:rPr>
          <w:color w:val="auto"/>
          <w:sz w:val="24"/>
          <w:szCs w:val="24"/>
          <w:lang w:val="en-US"/>
        </w:rPr>
        <w:t xml:space="preserve"> </w:t>
      </w:r>
    </w:p>
    <w:p w14:paraId="4DD0532E" w14:textId="0B181F22" w:rsidR="00782437" w:rsidRDefault="00782437" w:rsidP="00DC1118">
      <w:pPr>
        <w:pStyle w:val="BodyText"/>
        <w:jc w:val="both"/>
        <w:rPr>
          <w:b/>
          <w:bCs/>
          <w:i/>
          <w:iCs/>
          <w:color w:val="auto"/>
          <w:sz w:val="24"/>
          <w:szCs w:val="24"/>
          <w:lang w:val="en-US"/>
        </w:rPr>
      </w:pPr>
      <w:r>
        <w:rPr>
          <w:b/>
          <w:bCs/>
          <w:color w:val="auto"/>
          <w:sz w:val="24"/>
          <w:szCs w:val="24"/>
          <w:lang w:val="en-US"/>
        </w:rPr>
        <w:t xml:space="preserve">Read: </w:t>
      </w:r>
      <w:r>
        <w:rPr>
          <w:b/>
          <w:bCs/>
          <w:i/>
          <w:iCs/>
          <w:color w:val="auto"/>
          <w:sz w:val="24"/>
          <w:szCs w:val="24"/>
          <w:lang w:val="en-US"/>
        </w:rPr>
        <w:t>Lowendah</w:t>
      </w:r>
      <w:r w:rsidR="00D4296E">
        <w:rPr>
          <w:b/>
          <w:bCs/>
          <w:i/>
          <w:iCs/>
          <w:color w:val="auto"/>
          <w:sz w:val="24"/>
          <w:szCs w:val="24"/>
          <w:lang w:val="en-US"/>
        </w:rPr>
        <w:t>l v. the Baltimore and Ohio Railroad Company</w:t>
      </w:r>
    </w:p>
    <w:p w14:paraId="3BEEBD4C" w14:textId="4244F88E" w:rsidR="00D4296E" w:rsidRDefault="00D4296E" w:rsidP="00DC1118">
      <w:pPr>
        <w:pStyle w:val="BodyText"/>
        <w:jc w:val="both"/>
        <w:rPr>
          <w:b/>
          <w:bCs/>
          <w:i/>
          <w:iCs/>
          <w:color w:val="auto"/>
          <w:sz w:val="24"/>
          <w:szCs w:val="24"/>
          <w:lang w:val="fr-BE"/>
        </w:rPr>
      </w:pPr>
      <w:r>
        <w:rPr>
          <w:b/>
          <w:bCs/>
          <w:i/>
          <w:iCs/>
          <w:color w:val="auto"/>
          <w:sz w:val="24"/>
          <w:szCs w:val="24"/>
          <w:lang w:val="en-US"/>
        </w:rPr>
        <w:tab/>
      </w:r>
      <w:r w:rsidRPr="00D4296E">
        <w:rPr>
          <w:b/>
          <w:bCs/>
          <w:i/>
          <w:iCs/>
          <w:color w:val="auto"/>
          <w:sz w:val="24"/>
          <w:szCs w:val="24"/>
          <w:lang w:val="fr-BE"/>
        </w:rPr>
        <w:t>RRX Indus Inc. v. Lab-</w:t>
      </w:r>
      <w:r>
        <w:rPr>
          <w:b/>
          <w:bCs/>
          <w:i/>
          <w:iCs/>
          <w:color w:val="auto"/>
          <w:sz w:val="24"/>
          <w:szCs w:val="24"/>
          <w:lang w:val="fr-BE"/>
        </w:rPr>
        <w:t>Con Inc.</w:t>
      </w:r>
    </w:p>
    <w:p w14:paraId="01464C2E" w14:textId="3BCBE8F7" w:rsidR="00D4296E" w:rsidRDefault="00D4296E" w:rsidP="00DC1118">
      <w:pPr>
        <w:pStyle w:val="BodyText"/>
        <w:jc w:val="both"/>
        <w:rPr>
          <w:b/>
          <w:bCs/>
          <w:i/>
          <w:iCs/>
          <w:color w:val="auto"/>
          <w:sz w:val="24"/>
          <w:szCs w:val="24"/>
          <w:lang w:val="en-US"/>
        </w:rPr>
      </w:pPr>
      <w:r>
        <w:rPr>
          <w:b/>
          <w:bCs/>
          <w:i/>
          <w:iCs/>
          <w:color w:val="auto"/>
          <w:sz w:val="24"/>
          <w:szCs w:val="24"/>
          <w:lang w:val="fr-BE"/>
        </w:rPr>
        <w:tab/>
      </w:r>
      <w:r w:rsidRPr="00D4296E">
        <w:rPr>
          <w:b/>
          <w:bCs/>
          <w:i/>
          <w:iCs/>
          <w:color w:val="auto"/>
          <w:sz w:val="24"/>
          <w:szCs w:val="24"/>
          <w:lang w:val="en-US"/>
        </w:rPr>
        <w:t>De Witt Truck Brothers Inc.</w:t>
      </w:r>
    </w:p>
    <w:p w14:paraId="2B1F0049" w14:textId="503221B2" w:rsidR="00D4296E" w:rsidRDefault="00D4296E" w:rsidP="004901BD">
      <w:pPr>
        <w:pStyle w:val="BodyText"/>
        <w:jc w:val="both"/>
        <w:rPr>
          <w:i/>
          <w:iCs/>
          <w:color w:val="auto"/>
          <w:sz w:val="24"/>
          <w:szCs w:val="24"/>
          <w:lang w:val="en-US"/>
        </w:rPr>
      </w:pPr>
      <w:r>
        <w:rPr>
          <w:i/>
          <w:iCs/>
          <w:color w:val="auto"/>
          <w:sz w:val="24"/>
          <w:szCs w:val="24"/>
          <w:lang w:val="en-US"/>
        </w:rPr>
        <w:t>What are the facts, the issue and the holding of these cases?</w:t>
      </w:r>
    </w:p>
    <w:p w14:paraId="38E2ED9B" w14:textId="77777777" w:rsidR="004901BD" w:rsidRDefault="00D4296E" w:rsidP="004901BD">
      <w:pPr>
        <w:pStyle w:val="BodyText"/>
        <w:jc w:val="both"/>
        <w:rPr>
          <w:i/>
          <w:iCs/>
          <w:color w:val="auto"/>
          <w:sz w:val="24"/>
          <w:szCs w:val="24"/>
          <w:lang w:val="en-US"/>
        </w:rPr>
      </w:pPr>
      <w:r>
        <w:rPr>
          <w:i/>
          <w:iCs/>
          <w:color w:val="auto"/>
          <w:sz w:val="24"/>
          <w:szCs w:val="24"/>
          <w:lang w:val="en-US"/>
        </w:rPr>
        <w:t>How does the instrumentality approach in Lowendahl differ from the alter ego doctrine used in RRX Indus?</w:t>
      </w:r>
    </w:p>
    <w:p w14:paraId="6F0957EB" w14:textId="5F2348B0" w:rsidR="00D4296E" w:rsidRDefault="004901BD" w:rsidP="004901BD">
      <w:pPr>
        <w:pStyle w:val="BodyText"/>
        <w:jc w:val="both"/>
        <w:rPr>
          <w:color w:val="auto"/>
          <w:sz w:val="24"/>
          <w:szCs w:val="24"/>
          <w:lang w:val="en-US"/>
        </w:rPr>
      </w:pPr>
      <w:r>
        <w:rPr>
          <w:color w:val="auto"/>
          <w:sz w:val="24"/>
          <w:szCs w:val="24"/>
          <w:lang w:val="en-US"/>
        </w:rPr>
        <w:t xml:space="preserve">In the United Kingdom, a similar casuistic approach can be found, highlighting the limits of limited liability. </w:t>
      </w:r>
    </w:p>
    <w:p w14:paraId="4536F8E0" w14:textId="030207B6" w:rsidR="004901BD" w:rsidRDefault="004901BD" w:rsidP="004901BD">
      <w:pPr>
        <w:pStyle w:val="BodyText"/>
        <w:jc w:val="both"/>
        <w:rPr>
          <w:b/>
          <w:bCs/>
          <w:color w:val="auto"/>
          <w:sz w:val="24"/>
          <w:szCs w:val="24"/>
          <w:lang w:val="en-US"/>
        </w:rPr>
      </w:pPr>
      <w:r>
        <w:rPr>
          <w:b/>
          <w:bCs/>
          <w:color w:val="auto"/>
          <w:sz w:val="24"/>
          <w:szCs w:val="24"/>
          <w:lang w:val="en-US"/>
        </w:rPr>
        <w:t xml:space="preserve">Read: </w:t>
      </w:r>
      <w:r>
        <w:rPr>
          <w:b/>
          <w:bCs/>
          <w:i/>
          <w:iCs/>
          <w:color w:val="auto"/>
          <w:sz w:val="24"/>
          <w:szCs w:val="24"/>
          <w:lang w:val="en-US"/>
        </w:rPr>
        <w:t xml:space="preserve">Salomon v. A. Salomon </w:t>
      </w:r>
      <w:r>
        <w:rPr>
          <w:b/>
          <w:bCs/>
          <w:color w:val="auto"/>
          <w:sz w:val="24"/>
          <w:szCs w:val="24"/>
          <w:lang w:val="en-US"/>
        </w:rPr>
        <w:t>(see first course)</w:t>
      </w:r>
    </w:p>
    <w:p w14:paraId="79A14C93" w14:textId="5634BDBB" w:rsidR="004901BD" w:rsidRDefault="004901BD" w:rsidP="004901BD">
      <w:pPr>
        <w:pStyle w:val="BodyText"/>
        <w:jc w:val="both"/>
        <w:rPr>
          <w:b/>
          <w:bCs/>
          <w:i/>
          <w:iCs/>
          <w:color w:val="auto"/>
          <w:sz w:val="24"/>
          <w:szCs w:val="24"/>
          <w:lang w:val="en-US"/>
        </w:rPr>
      </w:pPr>
      <w:r>
        <w:rPr>
          <w:b/>
          <w:bCs/>
          <w:color w:val="auto"/>
          <w:sz w:val="24"/>
          <w:szCs w:val="24"/>
          <w:lang w:val="en-US"/>
        </w:rPr>
        <w:tab/>
      </w:r>
      <w:r>
        <w:rPr>
          <w:b/>
          <w:bCs/>
          <w:i/>
          <w:iCs/>
          <w:color w:val="auto"/>
          <w:sz w:val="24"/>
          <w:szCs w:val="24"/>
          <w:lang w:val="en-US"/>
        </w:rPr>
        <w:t>Adams v. Cape</w:t>
      </w:r>
    </w:p>
    <w:p w14:paraId="3016D72D" w14:textId="624A8455" w:rsidR="004901BD" w:rsidRDefault="004901BD" w:rsidP="004901BD">
      <w:pPr>
        <w:pStyle w:val="BodyText"/>
        <w:jc w:val="both"/>
        <w:rPr>
          <w:b/>
          <w:bCs/>
          <w:color w:val="auto"/>
          <w:sz w:val="24"/>
          <w:szCs w:val="24"/>
          <w:lang w:val="en-US"/>
        </w:rPr>
      </w:pPr>
      <w:r>
        <w:rPr>
          <w:b/>
          <w:bCs/>
          <w:i/>
          <w:iCs/>
          <w:color w:val="auto"/>
          <w:sz w:val="24"/>
          <w:szCs w:val="24"/>
          <w:lang w:val="en-US"/>
        </w:rPr>
        <w:tab/>
        <w:t xml:space="preserve">Prest v. </w:t>
      </w:r>
      <w:proofErr w:type="spellStart"/>
      <w:r>
        <w:rPr>
          <w:b/>
          <w:bCs/>
          <w:i/>
          <w:iCs/>
          <w:color w:val="auto"/>
          <w:sz w:val="24"/>
          <w:szCs w:val="24"/>
          <w:lang w:val="en-US"/>
        </w:rPr>
        <w:t>Petrodel</w:t>
      </w:r>
      <w:proofErr w:type="spellEnd"/>
      <w:r>
        <w:rPr>
          <w:b/>
          <w:bCs/>
          <w:i/>
          <w:iCs/>
          <w:color w:val="auto"/>
          <w:sz w:val="24"/>
          <w:szCs w:val="24"/>
          <w:lang w:val="en-US"/>
        </w:rPr>
        <w:t xml:space="preserve"> Resources Ltd.</w:t>
      </w:r>
    </w:p>
    <w:p w14:paraId="20F4638F" w14:textId="08C1B922" w:rsidR="004901BD" w:rsidRDefault="004901BD" w:rsidP="004901BD">
      <w:pPr>
        <w:pStyle w:val="BodyText"/>
        <w:jc w:val="both"/>
        <w:rPr>
          <w:i/>
          <w:iCs/>
          <w:color w:val="auto"/>
          <w:sz w:val="24"/>
          <w:szCs w:val="24"/>
          <w:lang w:val="en-US"/>
        </w:rPr>
      </w:pPr>
      <w:r>
        <w:rPr>
          <w:i/>
          <w:iCs/>
          <w:color w:val="auto"/>
          <w:sz w:val="24"/>
          <w:szCs w:val="24"/>
          <w:lang w:val="en-US"/>
        </w:rPr>
        <w:t xml:space="preserve">What are the facts, the issue and the holdings of Adams v. Cape and Prest v. </w:t>
      </w:r>
      <w:proofErr w:type="spellStart"/>
      <w:r>
        <w:rPr>
          <w:i/>
          <w:iCs/>
          <w:color w:val="auto"/>
          <w:sz w:val="24"/>
          <w:szCs w:val="24"/>
          <w:lang w:val="en-US"/>
        </w:rPr>
        <w:t>Petrodel</w:t>
      </w:r>
      <w:proofErr w:type="spellEnd"/>
      <w:r>
        <w:rPr>
          <w:i/>
          <w:iCs/>
          <w:color w:val="auto"/>
          <w:sz w:val="24"/>
          <w:szCs w:val="24"/>
          <w:lang w:val="en-US"/>
        </w:rPr>
        <w:t xml:space="preserve"> Resources?</w:t>
      </w:r>
    </w:p>
    <w:p w14:paraId="7B03FF28" w14:textId="3AE3B857" w:rsidR="004901BD" w:rsidRPr="004901BD" w:rsidRDefault="004901BD" w:rsidP="004901BD">
      <w:pPr>
        <w:pStyle w:val="BodyText"/>
        <w:jc w:val="both"/>
        <w:rPr>
          <w:i/>
          <w:iCs/>
          <w:color w:val="auto"/>
          <w:sz w:val="24"/>
          <w:szCs w:val="24"/>
          <w:lang w:val="en-US"/>
        </w:rPr>
      </w:pPr>
      <w:r>
        <w:rPr>
          <w:i/>
          <w:iCs/>
          <w:color w:val="auto"/>
          <w:sz w:val="24"/>
          <w:szCs w:val="24"/>
          <w:lang w:val="en-US"/>
        </w:rPr>
        <w:t>In these cases, the court works on three separate theories of veil piercing. What theories do they distinguish? Which one is probably most relevant?</w:t>
      </w:r>
    </w:p>
    <w:p w14:paraId="0AD955B0" w14:textId="4CB8CB8C" w:rsidR="004901BD" w:rsidRPr="004901BD" w:rsidRDefault="004901BD" w:rsidP="004901BD">
      <w:pPr>
        <w:pStyle w:val="BodyText"/>
        <w:jc w:val="both"/>
        <w:rPr>
          <w:color w:val="auto"/>
          <w:sz w:val="24"/>
          <w:szCs w:val="24"/>
          <w:u w:val="single"/>
          <w:lang w:val="en-US"/>
        </w:rPr>
      </w:pPr>
      <w:r w:rsidRPr="004901BD">
        <w:rPr>
          <w:color w:val="auto"/>
          <w:sz w:val="24"/>
          <w:szCs w:val="24"/>
          <w:u w:val="single"/>
          <w:lang w:val="en-US"/>
        </w:rPr>
        <w:t>Veil piercing and partnership law</w:t>
      </w:r>
    </w:p>
    <w:p w14:paraId="60AA4802" w14:textId="42EC36ED" w:rsidR="004901BD" w:rsidRDefault="004901BD" w:rsidP="004901BD">
      <w:pPr>
        <w:pStyle w:val="BodyText"/>
        <w:jc w:val="both"/>
        <w:rPr>
          <w:color w:val="auto"/>
          <w:sz w:val="24"/>
          <w:szCs w:val="24"/>
          <w:lang w:val="en-US"/>
        </w:rPr>
      </w:pPr>
      <w:r>
        <w:rPr>
          <w:color w:val="auto"/>
          <w:sz w:val="24"/>
          <w:szCs w:val="24"/>
          <w:lang w:val="en-US"/>
        </w:rPr>
        <w:t xml:space="preserve">Other jurisdictions base their veil piercing on the asset-mingling by the assumption of the creation of an (involuntary) partnership with unlimited liability. </w:t>
      </w:r>
    </w:p>
    <w:p w14:paraId="53037124" w14:textId="550CF2EB" w:rsidR="004901BD" w:rsidRDefault="004901BD" w:rsidP="004901BD">
      <w:pPr>
        <w:pStyle w:val="BodyText"/>
        <w:jc w:val="both"/>
        <w:rPr>
          <w:b/>
          <w:bCs/>
          <w:color w:val="auto"/>
          <w:sz w:val="24"/>
          <w:szCs w:val="24"/>
          <w:lang w:val="en-US"/>
        </w:rPr>
      </w:pPr>
      <w:r>
        <w:rPr>
          <w:b/>
          <w:bCs/>
          <w:color w:val="auto"/>
          <w:sz w:val="24"/>
          <w:szCs w:val="24"/>
          <w:lang w:val="en-US"/>
        </w:rPr>
        <w:t>Read: § 128 HGB (Germany)</w:t>
      </w:r>
    </w:p>
    <w:p w14:paraId="02FECB9F" w14:textId="5E319A26" w:rsidR="004901BD" w:rsidRDefault="004901BD" w:rsidP="004901BD">
      <w:pPr>
        <w:pStyle w:val="BodyText"/>
        <w:jc w:val="both"/>
        <w:rPr>
          <w:b/>
          <w:bCs/>
          <w:color w:val="auto"/>
          <w:sz w:val="24"/>
          <w:szCs w:val="24"/>
          <w:lang w:val="en-US"/>
        </w:rPr>
      </w:pPr>
      <w:r>
        <w:rPr>
          <w:b/>
          <w:bCs/>
          <w:color w:val="auto"/>
          <w:sz w:val="24"/>
          <w:szCs w:val="24"/>
          <w:lang w:val="en-US"/>
        </w:rPr>
        <w:tab/>
        <w:t>Art. 4:1 WVV (Belgian Code of Companies and Associations)</w:t>
      </w:r>
    </w:p>
    <w:p w14:paraId="5BE42445" w14:textId="4D23A26B" w:rsidR="004901BD" w:rsidRPr="004901BD" w:rsidRDefault="004901BD" w:rsidP="004901BD">
      <w:pPr>
        <w:pStyle w:val="BodyText"/>
        <w:jc w:val="both"/>
        <w:rPr>
          <w:i/>
          <w:iCs/>
          <w:color w:val="auto"/>
          <w:sz w:val="24"/>
          <w:szCs w:val="24"/>
          <w:lang w:val="en-US"/>
        </w:rPr>
      </w:pPr>
      <w:r>
        <w:rPr>
          <w:i/>
          <w:iCs/>
          <w:color w:val="auto"/>
          <w:sz w:val="24"/>
          <w:szCs w:val="24"/>
          <w:lang w:val="en-US"/>
        </w:rPr>
        <w:t>How does veil piercing via partnership law work? Do you think this is an adequate approach to veil piercing? What would be the advantages/disadvantages of this approach?</w:t>
      </w:r>
    </w:p>
    <w:p w14:paraId="3397A07F" w14:textId="77777777" w:rsidR="00772F39" w:rsidRDefault="00772F39" w:rsidP="004901BD">
      <w:pPr>
        <w:pStyle w:val="BodyText"/>
        <w:jc w:val="both"/>
        <w:rPr>
          <w:color w:val="auto"/>
          <w:sz w:val="24"/>
          <w:szCs w:val="24"/>
          <w:u w:val="single"/>
          <w:lang w:val="en-US"/>
        </w:rPr>
      </w:pPr>
    </w:p>
    <w:p w14:paraId="5933131E" w14:textId="6617A166" w:rsidR="004901BD" w:rsidRPr="004901BD" w:rsidRDefault="004901BD" w:rsidP="004901BD">
      <w:pPr>
        <w:pStyle w:val="BodyText"/>
        <w:jc w:val="both"/>
        <w:rPr>
          <w:color w:val="auto"/>
          <w:sz w:val="24"/>
          <w:szCs w:val="24"/>
          <w:u w:val="single"/>
          <w:lang w:val="en-US"/>
        </w:rPr>
      </w:pPr>
      <w:r w:rsidRPr="004901BD">
        <w:rPr>
          <w:color w:val="auto"/>
          <w:sz w:val="24"/>
          <w:szCs w:val="24"/>
          <w:u w:val="single"/>
          <w:lang w:val="en-US"/>
        </w:rPr>
        <w:lastRenderedPageBreak/>
        <w:t>Veil piercing and liability law</w:t>
      </w:r>
    </w:p>
    <w:p w14:paraId="29F0874D" w14:textId="39B085B0" w:rsidR="00CD1135" w:rsidRDefault="004901BD" w:rsidP="004901BD">
      <w:pPr>
        <w:pStyle w:val="BodyText"/>
        <w:jc w:val="both"/>
        <w:rPr>
          <w:color w:val="auto"/>
          <w:sz w:val="24"/>
          <w:szCs w:val="24"/>
          <w:lang w:val="en-US"/>
        </w:rPr>
      </w:pPr>
      <w:r>
        <w:rPr>
          <w:color w:val="auto"/>
          <w:sz w:val="24"/>
          <w:szCs w:val="24"/>
          <w:lang w:val="en-US"/>
        </w:rPr>
        <w:t xml:space="preserve">Yet another </w:t>
      </w:r>
      <w:r w:rsidR="00CD1135">
        <w:rPr>
          <w:color w:val="auto"/>
          <w:sz w:val="24"/>
          <w:szCs w:val="24"/>
          <w:lang w:val="en-US"/>
        </w:rPr>
        <w:t xml:space="preserve">approach of indirectly piercing the corporate veil is via liability law. For example, </w:t>
      </w:r>
      <w:proofErr w:type="gramStart"/>
      <w:r w:rsidR="00CD1135">
        <w:rPr>
          <w:color w:val="auto"/>
          <w:sz w:val="24"/>
          <w:szCs w:val="24"/>
          <w:lang w:val="en-US"/>
        </w:rPr>
        <w:t>director’s</w:t>
      </w:r>
      <w:proofErr w:type="gramEnd"/>
      <w:r w:rsidR="00CD1135">
        <w:rPr>
          <w:color w:val="auto"/>
          <w:sz w:val="24"/>
          <w:szCs w:val="24"/>
          <w:lang w:val="en-US"/>
        </w:rPr>
        <w:t xml:space="preserve"> liability can occasionally be stretched to cover not only </w:t>
      </w:r>
      <w:r w:rsidR="00CD1135">
        <w:rPr>
          <w:i/>
          <w:iCs/>
          <w:color w:val="auto"/>
          <w:sz w:val="24"/>
          <w:szCs w:val="24"/>
          <w:lang w:val="en-US"/>
        </w:rPr>
        <w:t xml:space="preserve">de jure </w:t>
      </w:r>
      <w:r w:rsidR="00CD1135">
        <w:rPr>
          <w:color w:val="auto"/>
          <w:sz w:val="24"/>
          <w:szCs w:val="24"/>
          <w:lang w:val="en-US"/>
        </w:rPr>
        <w:t xml:space="preserve">directors but also </w:t>
      </w:r>
      <w:r w:rsidR="00CD1135">
        <w:rPr>
          <w:i/>
          <w:iCs/>
          <w:color w:val="auto"/>
          <w:sz w:val="24"/>
          <w:szCs w:val="24"/>
          <w:lang w:val="en-US"/>
        </w:rPr>
        <w:t xml:space="preserve">de facto </w:t>
      </w:r>
      <w:r w:rsidR="00CD1135">
        <w:rPr>
          <w:color w:val="auto"/>
          <w:sz w:val="24"/>
          <w:szCs w:val="24"/>
          <w:lang w:val="en-US"/>
        </w:rPr>
        <w:t xml:space="preserve">directors. This, however, is not actual veil piercing, but rather going around the corporate veil via an alternative route to liability. </w:t>
      </w:r>
      <w:proofErr w:type="gramStart"/>
      <w:r w:rsidR="00CD1135">
        <w:rPr>
          <w:color w:val="auto"/>
          <w:sz w:val="24"/>
          <w:szCs w:val="24"/>
          <w:lang w:val="en-US"/>
        </w:rPr>
        <w:t>In particular, is</w:t>
      </w:r>
      <w:proofErr w:type="gramEnd"/>
      <w:r w:rsidR="00CD1135">
        <w:rPr>
          <w:color w:val="auto"/>
          <w:sz w:val="24"/>
          <w:szCs w:val="24"/>
          <w:lang w:val="en-US"/>
        </w:rPr>
        <w:t xml:space="preserve"> requires the presence of fault (e.g., a breach of fiduciary duty), damage and causality which is not always easy to prove. </w:t>
      </w:r>
    </w:p>
    <w:p w14:paraId="2200591B" w14:textId="11BFF62E" w:rsidR="00CD1135" w:rsidRDefault="00CD1135" w:rsidP="004901BD">
      <w:pPr>
        <w:pStyle w:val="BodyText"/>
        <w:jc w:val="both"/>
        <w:rPr>
          <w:b/>
          <w:bCs/>
          <w:color w:val="auto"/>
          <w:sz w:val="24"/>
          <w:szCs w:val="24"/>
          <w:lang w:val="en-US"/>
        </w:rPr>
      </w:pPr>
      <w:r>
        <w:rPr>
          <w:b/>
          <w:bCs/>
          <w:color w:val="auto"/>
          <w:sz w:val="24"/>
          <w:szCs w:val="24"/>
          <w:lang w:val="en-US"/>
        </w:rPr>
        <w:t xml:space="preserve">Read: </w:t>
      </w:r>
      <w:proofErr w:type="spellStart"/>
      <w:r>
        <w:rPr>
          <w:b/>
          <w:bCs/>
          <w:color w:val="auto"/>
          <w:sz w:val="24"/>
          <w:szCs w:val="24"/>
          <w:lang w:val="en-US"/>
        </w:rPr>
        <w:t>Trihotel</w:t>
      </w:r>
      <w:proofErr w:type="spellEnd"/>
      <w:r>
        <w:rPr>
          <w:b/>
          <w:bCs/>
          <w:color w:val="auto"/>
          <w:sz w:val="24"/>
          <w:szCs w:val="24"/>
          <w:lang w:val="en-US"/>
        </w:rPr>
        <w:t xml:space="preserve"> judgement </w:t>
      </w:r>
    </w:p>
    <w:p w14:paraId="42477184" w14:textId="7A25891E" w:rsidR="00CD1135" w:rsidRDefault="00CD1135" w:rsidP="004901BD">
      <w:pPr>
        <w:pStyle w:val="BodyText"/>
        <w:jc w:val="both"/>
        <w:rPr>
          <w:b/>
          <w:bCs/>
          <w:color w:val="auto"/>
          <w:sz w:val="24"/>
          <w:szCs w:val="24"/>
          <w:lang w:val="en-US"/>
        </w:rPr>
      </w:pPr>
      <w:r>
        <w:rPr>
          <w:b/>
          <w:bCs/>
          <w:color w:val="auto"/>
          <w:sz w:val="24"/>
          <w:szCs w:val="24"/>
          <w:lang w:val="en-US"/>
        </w:rPr>
        <w:tab/>
        <w:t>GAMMA judgement</w:t>
      </w:r>
    </w:p>
    <w:p w14:paraId="189C7D5F" w14:textId="15FE51E1" w:rsidR="005C48B8" w:rsidRDefault="005C48B8" w:rsidP="004901BD">
      <w:pPr>
        <w:pStyle w:val="BodyText"/>
        <w:jc w:val="both"/>
        <w:rPr>
          <w:i/>
          <w:iCs/>
          <w:color w:val="auto"/>
          <w:sz w:val="24"/>
          <w:szCs w:val="24"/>
          <w:lang w:val="en-US"/>
        </w:rPr>
      </w:pPr>
      <w:r>
        <w:rPr>
          <w:i/>
          <w:iCs/>
          <w:color w:val="auto"/>
          <w:sz w:val="24"/>
          <w:szCs w:val="24"/>
          <w:lang w:val="en-US"/>
        </w:rPr>
        <w:t xml:space="preserve">What are the facts, the issue and the holding in these cases? </w:t>
      </w:r>
    </w:p>
    <w:p w14:paraId="56DDEA2A" w14:textId="62CE59AE" w:rsidR="005C48B8" w:rsidRDefault="005C48B8" w:rsidP="004901BD">
      <w:pPr>
        <w:pStyle w:val="BodyText"/>
        <w:jc w:val="both"/>
        <w:rPr>
          <w:i/>
          <w:iCs/>
          <w:color w:val="auto"/>
          <w:sz w:val="24"/>
          <w:szCs w:val="24"/>
          <w:lang w:val="en-US"/>
        </w:rPr>
      </w:pPr>
      <w:r>
        <w:rPr>
          <w:i/>
          <w:iCs/>
          <w:color w:val="auto"/>
          <w:sz w:val="24"/>
          <w:szCs w:val="24"/>
          <w:lang w:val="en-US"/>
        </w:rPr>
        <w:t xml:space="preserve">How do these judgements provide for the option to pierce the corporate veil? What limits are imposed? Do you think these limits are justified? On what grounds? </w:t>
      </w:r>
    </w:p>
    <w:p w14:paraId="1732C3AF" w14:textId="6BADF089" w:rsidR="005C48B8" w:rsidRDefault="005C48B8" w:rsidP="004901BD">
      <w:pPr>
        <w:pStyle w:val="BodyText"/>
        <w:jc w:val="both"/>
        <w:rPr>
          <w:b/>
          <w:bCs/>
          <w:color w:val="auto"/>
          <w:sz w:val="32"/>
          <w:szCs w:val="32"/>
          <w:lang w:val="en-US"/>
        </w:rPr>
      </w:pPr>
      <w:r>
        <w:rPr>
          <w:b/>
          <w:bCs/>
          <w:color w:val="auto"/>
          <w:sz w:val="32"/>
          <w:szCs w:val="32"/>
          <w:lang w:val="en-US"/>
        </w:rPr>
        <w:t>Group law</w:t>
      </w:r>
    </w:p>
    <w:p w14:paraId="5F751103" w14:textId="7AB92FE9" w:rsidR="00CB2742" w:rsidRDefault="005C48B8" w:rsidP="004901BD">
      <w:pPr>
        <w:pStyle w:val="BodyText"/>
        <w:jc w:val="both"/>
        <w:rPr>
          <w:color w:val="auto"/>
          <w:sz w:val="24"/>
          <w:szCs w:val="24"/>
          <w:lang w:val="en-US"/>
        </w:rPr>
      </w:pPr>
      <w:r>
        <w:rPr>
          <w:color w:val="auto"/>
          <w:sz w:val="24"/>
          <w:szCs w:val="24"/>
          <w:lang w:val="en-US"/>
        </w:rPr>
        <w:t xml:space="preserve">Some jurisdictions have fully developed an understanding of “group law”. This is probably most prevalent in Germany where the </w:t>
      </w:r>
      <w:proofErr w:type="spellStart"/>
      <w:r>
        <w:rPr>
          <w:i/>
          <w:iCs/>
          <w:color w:val="auto"/>
          <w:sz w:val="24"/>
          <w:szCs w:val="24"/>
          <w:lang w:val="en-US"/>
        </w:rPr>
        <w:t>Aktiengesetz</w:t>
      </w:r>
      <w:proofErr w:type="spellEnd"/>
      <w:r>
        <w:rPr>
          <w:i/>
          <w:iCs/>
          <w:color w:val="auto"/>
          <w:sz w:val="24"/>
          <w:szCs w:val="24"/>
          <w:lang w:val="en-US"/>
        </w:rPr>
        <w:t xml:space="preserve"> </w:t>
      </w:r>
      <w:r>
        <w:rPr>
          <w:color w:val="auto"/>
          <w:sz w:val="24"/>
          <w:szCs w:val="24"/>
          <w:lang w:val="en-US"/>
        </w:rPr>
        <w:t>provide for a rather detailed regulatory framework. According to German law, a distinction must be made whether the control of a parental company is derived from the ownership of shares</w:t>
      </w:r>
      <w:r w:rsidR="00CB2742">
        <w:rPr>
          <w:color w:val="auto"/>
          <w:sz w:val="24"/>
          <w:szCs w:val="24"/>
          <w:lang w:val="en-US"/>
        </w:rPr>
        <w:t xml:space="preserve"> (§ 311 et seq. </w:t>
      </w:r>
      <w:proofErr w:type="spellStart"/>
      <w:r w:rsidR="00CB2742">
        <w:rPr>
          <w:color w:val="auto"/>
          <w:sz w:val="24"/>
          <w:szCs w:val="24"/>
          <w:lang w:val="en-US"/>
        </w:rPr>
        <w:t>AktG</w:t>
      </w:r>
      <w:proofErr w:type="spellEnd"/>
      <w:r w:rsidR="00CB2742">
        <w:rPr>
          <w:color w:val="auto"/>
          <w:sz w:val="24"/>
          <w:szCs w:val="24"/>
          <w:lang w:val="en-US"/>
        </w:rPr>
        <w:t>)</w:t>
      </w:r>
      <w:r>
        <w:rPr>
          <w:color w:val="auto"/>
          <w:sz w:val="24"/>
          <w:szCs w:val="24"/>
          <w:lang w:val="en-US"/>
        </w:rPr>
        <w:t xml:space="preserve"> or a formal “enterprise </w:t>
      </w:r>
      <w:proofErr w:type="gramStart"/>
      <w:r>
        <w:rPr>
          <w:color w:val="auto"/>
          <w:sz w:val="24"/>
          <w:szCs w:val="24"/>
          <w:lang w:val="en-US"/>
        </w:rPr>
        <w:t>agreement”</w:t>
      </w:r>
      <w:r w:rsidR="00CB2742">
        <w:rPr>
          <w:color w:val="auto"/>
          <w:sz w:val="24"/>
          <w:szCs w:val="24"/>
          <w:lang w:val="en-US"/>
        </w:rPr>
        <w:t>(</w:t>
      </w:r>
      <w:proofErr w:type="gramEnd"/>
      <w:r w:rsidR="00CB2742">
        <w:rPr>
          <w:color w:val="auto"/>
          <w:sz w:val="24"/>
          <w:szCs w:val="24"/>
          <w:lang w:val="en-US"/>
        </w:rPr>
        <w:t xml:space="preserve">§ 291 et seq. </w:t>
      </w:r>
      <w:proofErr w:type="spellStart"/>
      <w:r w:rsidR="00CB2742">
        <w:rPr>
          <w:color w:val="auto"/>
          <w:sz w:val="24"/>
          <w:szCs w:val="24"/>
          <w:lang w:val="en-US"/>
        </w:rPr>
        <w:t>AktG</w:t>
      </w:r>
      <w:proofErr w:type="spellEnd"/>
      <w:r w:rsidR="00CB2742">
        <w:rPr>
          <w:color w:val="auto"/>
          <w:sz w:val="24"/>
          <w:szCs w:val="24"/>
          <w:lang w:val="en-US"/>
        </w:rPr>
        <w:t>)</w:t>
      </w:r>
      <w:r>
        <w:rPr>
          <w:color w:val="auto"/>
          <w:sz w:val="24"/>
          <w:szCs w:val="24"/>
          <w:lang w:val="en-US"/>
        </w:rPr>
        <w:t xml:space="preserve">. </w:t>
      </w:r>
      <w:r w:rsidR="00CB2742">
        <w:rPr>
          <w:color w:val="auto"/>
          <w:sz w:val="24"/>
          <w:szCs w:val="24"/>
          <w:lang w:val="en-US"/>
        </w:rPr>
        <w:t xml:space="preserve">A formal enterprise agreement gives the parental company the right to direct its subsidiary, even in matters that do not serve the subsidiary’s interests, and to receive (part of the profit) </w:t>
      </w:r>
      <w:proofErr w:type="gramStart"/>
      <w:r w:rsidR="00CB2742">
        <w:rPr>
          <w:color w:val="auto"/>
          <w:sz w:val="24"/>
          <w:szCs w:val="24"/>
          <w:lang w:val="en-US"/>
        </w:rPr>
        <w:t>of</w:t>
      </w:r>
      <w:proofErr w:type="gramEnd"/>
      <w:r w:rsidR="00CB2742">
        <w:rPr>
          <w:color w:val="auto"/>
          <w:sz w:val="24"/>
          <w:szCs w:val="24"/>
          <w:lang w:val="en-US"/>
        </w:rPr>
        <w:t xml:space="preserve"> the subsidiary. </w:t>
      </w:r>
      <w:proofErr w:type="gramStart"/>
      <w:r w:rsidR="00CB2742">
        <w:rPr>
          <w:color w:val="auto"/>
          <w:sz w:val="24"/>
          <w:szCs w:val="24"/>
          <w:lang w:val="en-US"/>
        </w:rPr>
        <w:t>However</w:t>
      </w:r>
      <w:proofErr w:type="gramEnd"/>
      <w:r w:rsidR="00CB2742">
        <w:rPr>
          <w:color w:val="auto"/>
          <w:sz w:val="24"/>
          <w:szCs w:val="24"/>
          <w:lang w:val="en-US"/>
        </w:rPr>
        <w:t xml:space="preserve"> shareholders are protected by the right to exit under a fair </w:t>
      </w:r>
      <w:proofErr w:type="gramStart"/>
      <w:r w:rsidR="00CB2742">
        <w:rPr>
          <w:color w:val="auto"/>
          <w:sz w:val="24"/>
          <w:szCs w:val="24"/>
          <w:lang w:val="en-US"/>
        </w:rPr>
        <w:t>price</w:t>
      </w:r>
      <w:proofErr w:type="gramEnd"/>
      <w:r w:rsidR="00CB2742">
        <w:rPr>
          <w:color w:val="auto"/>
          <w:sz w:val="24"/>
          <w:szCs w:val="24"/>
          <w:lang w:val="en-US"/>
        </w:rPr>
        <w:t xml:space="preserve"> and the parent can be held liable for the subsidiary’s losses for the duration of the agreement.</w:t>
      </w:r>
    </w:p>
    <w:p w14:paraId="3D22374D" w14:textId="1192FF29" w:rsidR="00CB2742" w:rsidRDefault="00CB2742" w:rsidP="004901BD">
      <w:pPr>
        <w:pStyle w:val="BodyText"/>
        <w:jc w:val="both"/>
        <w:rPr>
          <w:color w:val="auto"/>
          <w:sz w:val="24"/>
          <w:szCs w:val="24"/>
          <w:lang w:val="en-US"/>
        </w:rPr>
      </w:pPr>
      <w:r>
        <w:rPr>
          <w:color w:val="auto"/>
          <w:sz w:val="24"/>
          <w:szCs w:val="24"/>
          <w:lang w:val="en-US"/>
        </w:rPr>
        <w:t xml:space="preserve">In the absence of a subsidiary agreement, a </w:t>
      </w:r>
      <w:r>
        <w:rPr>
          <w:i/>
          <w:iCs/>
          <w:color w:val="auto"/>
          <w:sz w:val="24"/>
          <w:szCs w:val="24"/>
          <w:lang w:val="en-US"/>
        </w:rPr>
        <w:t xml:space="preserve">de facto </w:t>
      </w:r>
      <w:r>
        <w:rPr>
          <w:color w:val="auto"/>
          <w:sz w:val="24"/>
          <w:szCs w:val="24"/>
          <w:lang w:val="en-US"/>
        </w:rPr>
        <w:t>corporate group exists if the parent company has a controlling influence over its subsidiary. In those instances, the parent cannot use its influence to disadvantage the subsidiary without compensation and may be held liable for losses if no compensation is offered.</w:t>
      </w:r>
    </w:p>
    <w:p w14:paraId="5376BD3D" w14:textId="181A0B45" w:rsidR="00CB2742" w:rsidRPr="00D805AB" w:rsidRDefault="00CB2742" w:rsidP="004901BD">
      <w:pPr>
        <w:pStyle w:val="BodyText"/>
        <w:jc w:val="both"/>
        <w:rPr>
          <w:color w:val="auto"/>
          <w:sz w:val="24"/>
          <w:szCs w:val="24"/>
          <w:lang w:val="en-US"/>
        </w:rPr>
      </w:pPr>
      <w:r>
        <w:rPr>
          <w:color w:val="auto"/>
          <w:sz w:val="24"/>
          <w:szCs w:val="24"/>
          <w:lang w:val="en-US"/>
        </w:rPr>
        <w:t xml:space="preserve">Other countries have a case-based approach to group liability. France, for example, has based its group law along the </w:t>
      </w:r>
      <w:r>
        <w:rPr>
          <w:i/>
          <w:iCs/>
          <w:color w:val="auto"/>
          <w:sz w:val="24"/>
          <w:szCs w:val="24"/>
          <w:lang w:val="en-US"/>
        </w:rPr>
        <w:t xml:space="preserve">Rozenblum </w:t>
      </w:r>
      <w:r>
        <w:rPr>
          <w:color w:val="auto"/>
          <w:sz w:val="24"/>
          <w:szCs w:val="24"/>
          <w:lang w:val="en-US"/>
        </w:rPr>
        <w:t xml:space="preserve">doctrine, named after the judgment by the Cour de Cassation. </w:t>
      </w:r>
      <w:r w:rsidR="00D805AB">
        <w:rPr>
          <w:color w:val="auto"/>
          <w:sz w:val="24"/>
          <w:szCs w:val="24"/>
          <w:lang w:val="en-US"/>
        </w:rPr>
        <w:t xml:space="preserve">In the UK, </w:t>
      </w:r>
      <w:r w:rsidR="00D805AB">
        <w:rPr>
          <w:i/>
          <w:iCs/>
          <w:color w:val="auto"/>
          <w:sz w:val="24"/>
          <w:szCs w:val="24"/>
          <w:lang w:val="en-US"/>
        </w:rPr>
        <w:t xml:space="preserve">Adams v. Cape </w:t>
      </w:r>
      <w:r w:rsidR="00D805AB">
        <w:rPr>
          <w:color w:val="auto"/>
          <w:sz w:val="24"/>
          <w:szCs w:val="24"/>
          <w:lang w:val="en-US"/>
        </w:rPr>
        <w:t>sets out the relevant framework.</w:t>
      </w:r>
    </w:p>
    <w:p w14:paraId="66668B69" w14:textId="5B061256" w:rsidR="00CB2742" w:rsidRDefault="00CB2742" w:rsidP="004901BD">
      <w:pPr>
        <w:pStyle w:val="BodyText"/>
        <w:jc w:val="both"/>
        <w:rPr>
          <w:b/>
          <w:bCs/>
          <w:color w:val="auto"/>
          <w:sz w:val="24"/>
          <w:szCs w:val="24"/>
          <w:lang w:val="en-US"/>
        </w:rPr>
      </w:pPr>
      <w:r w:rsidRPr="00D805AB">
        <w:rPr>
          <w:b/>
          <w:bCs/>
          <w:color w:val="auto"/>
          <w:sz w:val="24"/>
          <w:szCs w:val="24"/>
          <w:lang w:val="en-US"/>
        </w:rPr>
        <w:t xml:space="preserve">Read: </w:t>
      </w:r>
      <w:r w:rsidRPr="00D805AB">
        <w:rPr>
          <w:b/>
          <w:bCs/>
          <w:i/>
          <w:iCs/>
          <w:color w:val="auto"/>
          <w:sz w:val="24"/>
          <w:szCs w:val="24"/>
          <w:lang w:val="en-US"/>
        </w:rPr>
        <w:t xml:space="preserve">Rozenblum </w:t>
      </w:r>
      <w:r w:rsidRPr="00D805AB">
        <w:rPr>
          <w:b/>
          <w:bCs/>
          <w:color w:val="auto"/>
          <w:sz w:val="24"/>
          <w:szCs w:val="24"/>
          <w:lang w:val="en-US"/>
        </w:rPr>
        <w:t>(Cour de Cassation FR)</w:t>
      </w:r>
    </w:p>
    <w:p w14:paraId="629BC4F5" w14:textId="00380DB7" w:rsidR="00D805AB" w:rsidRPr="00D805AB" w:rsidRDefault="00D805AB" w:rsidP="004901BD">
      <w:pPr>
        <w:pStyle w:val="BodyText"/>
        <w:jc w:val="both"/>
        <w:rPr>
          <w:b/>
          <w:bCs/>
          <w:i/>
          <w:iCs/>
          <w:color w:val="auto"/>
          <w:sz w:val="24"/>
          <w:szCs w:val="24"/>
          <w:lang w:val="en-US"/>
        </w:rPr>
      </w:pPr>
      <w:r>
        <w:rPr>
          <w:b/>
          <w:bCs/>
          <w:color w:val="auto"/>
          <w:sz w:val="24"/>
          <w:szCs w:val="24"/>
          <w:lang w:val="en-US"/>
        </w:rPr>
        <w:tab/>
      </w:r>
      <w:proofErr w:type="spellStart"/>
      <w:r>
        <w:rPr>
          <w:b/>
          <w:bCs/>
          <w:i/>
          <w:iCs/>
          <w:color w:val="auto"/>
          <w:sz w:val="24"/>
          <w:szCs w:val="24"/>
          <w:lang w:val="en-US"/>
        </w:rPr>
        <w:t>Walkovsky</w:t>
      </w:r>
      <w:proofErr w:type="spellEnd"/>
      <w:r>
        <w:rPr>
          <w:b/>
          <w:bCs/>
          <w:i/>
          <w:iCs/>
          <w:color w:val="auto"/>
          <w:sz w:val="24"/>
          <w:szCs w:val="24"/>
          <w:lang w:val="en-US"/>
        </w:rPr>
        <w:t xml:space="preserve"> v. Carlton</w:t>
      </w:r>
    </w:p>
    <w:p w14:paraId="2A851443" w14:textId="30EB8C49" w:rsidR="00CB2742" w:rsidRDefault="00CB2742" w:rsidP="004901BD">
      <w:pPr>
        <w:pStyle w:val="BodyText"/>
        <w:jc w:val="both"/>
        <w:rPr>
          <w:i/>
          <w:iCs/>
          <w:color w:val="auto"/>
          <w:sz w:val="24"/>
          <w:szCs w:val="24"/>
          <w:lang w:val="en-US"/>
        </w:rPr>
      </w:pPr>
      <w:r w:rsidRPr="00CB2742">
        <w:rPr>
          <w:i/>
          <w:iCs/>
          <w:color w:val="auto"/>
          <w:sz w:val="24"/>
          <w:szCs w:val="24"/>
          <w:lang w:val="en-US"/>
        </w:rPr>
        <w:t>What are the facts o</w:t>
      </w:r>
      <w:r>
        <w:rPr>
          <w:i/>
          <w:iCs/>
          <w:color w:val="auto"/>
          <w:sz w:val="24"/>
          <w:szCs w:val="24"/>
          <w:lang w:val="en-US"/>
        </w:rPr>
        <w:t xml:space="preserve">f the case. What limits has the Cour de cassation put in relation to intragroup transactions. </w:t>
      </w:r>
    </w:p>
    <w:p w14:paraId="02626592" w14:textId="13FE4760" w:rsidR="00D805AB" w:rsidRDefault="00D805AB" w:rsidP="004901BD">
      <w:pPr>
        <w:pStyle w:val="BodyText"/>
        <w:jc w:val="both"/>
        <w:rPr>
          <w:i/>
          <w:iCs/>
          <w:color w:val="auto"/>
          <w:sz w:val="24"/>
          <w:szCs w:val="24"/>
          <w:lang w:val="en-US"/>
        </w:rPr>
      </w:pPr>
      <w:r>
        <w:rPr>
          <w:i/>
          <w:iCs/>
          <w:color w:val="auto"/>
          <w:sz w:val="24"/>
          <w:szCs w:val="24"/>
          <w:lang w:val="en-US"/>
        </w:rPr>
        <w:t xml:space="preserve">Compare the theory of the court in Rozenblum to the theory of economic unity in Adams v. Cape and the unity of interest and ownership theory discussed in </w:t>
      </w:r>
      <w:proofErr w:type="spellStart"/>
      <w:r>
        <w:rPr>
          <w:i/>
          <w:iCs/>
          <w:color w:val="auto"/>
          <w:sz w:val="24"/>
          <w:szCs w:val="24"/>
          <w:lang w:val="en-US"/>
        </w:rPr>
        <w:t>Walkovsky</w:t>
      </w:r>
      <w:proofErr w:type="spellEnd"/>
      <w:r>
        <w:rPr>
          <w:i/>
          <w:iCs/>
          <w:color w:val="auto"/>
          <w:sz w:val="24"/>
          <w:szCs w:val="24"/>
          <w:lang w:val="en-US"/>
        </w:rPr>
        <w:t xml:space="preserve"> v. Carlton. </w:t>
      </w:r>
      <w:r>
        <w:rPr>
          <w:i/>
          <w:iCs/>
          <w:color w:val="auto"/>
          <w:sz w:val="24"/>
          <w:szCs w:val="24"/>
          <w:lang w:val="en-US"/>
        </w:rPr>
        <w:lastRenderedPageBreak/>
        <w:t>Which theory do you prefer? Why? What are the advantages and disadvantages of each approach?</w:t>
      </w:r>
    </w:p>
    <w:p w14:paraId="5B4E48F0" w14:textId="23FC1775" w:rsidR="00CD1135" w:rsidRDefault="00D805AB" w:rsidP="004901BD">
      <w:pPr>
        <w:pStyle w:val="BodyText"/>
        <w:jc w:val="both"/>
        <w:rPr>
          <w:b/>
          <w:bCs/>
          <w:i/>
          <w:iCs/>
          <w:color w:val="auto"/>
          <w:sz w:val="24"/>
          <w:szCs w:val="24"/>
          <w:lang w:val="en-US"/>
        </w:rPr>
      </w:pPr>
      <w:r>
        <w:rPr>
          <w:b/>
          <w:bCs/>
          <w:color w:val="auto"/>
          <w:sz w:val="24"/>
          <w:szCs w:val="24"/>
          <w:lang w:val="en-US"/>
        </w:rPr>
        <w:t xml:space="preserve">Read: </w:t>
      </w:r>
      <w:r>
        <w:rPr>
          <w:b/>
          <w:bCs/>
          <w:i/>
          <w:iCs/>
          <w:color w:val="auto"/>
          <w:sz w:val="24"/>
          <w:szCs w:val="24"/>
          <w:lang w:val="en-US"/>
        </w:rPr>
        <w:t>Chandler v. Cape</w:t>
      </w:r>
    </w:p>
    <w:p w14:paraId="7E5F2D39" w14:textId="0F66CE61" w:rsidR="00D805AB" w:rsidRDefault="00D805AB" w:rsidP="004901BD">
      <w:pPr>
        <w:pStyle w:val="BodyText"/>
        <w:jc w:val="both"/>
        <w:rPr>
          <w:b/>
          <w:bCs/>
          <w:i/>
          <w:iCs/>
          <w:color w:val="auto"/>
          <w:sz w:val="24"/>
          <w:szCs w:val="24"/>
          <w:lang w:val="en-US"/>
        </w:rPr>
      </w:pPr>
      <w:r>
        <w:rPr>
          <w:b/>
          <w:bCs/>
          <w:i/>
          <w:iCs/>
          <w:color w:val="auto"/>
          <w:sz w:val="24"/>
          <w:szCs w:val="24"/>
          <w:lang w:val="en-US"/>
        </w:rPr>
        <w:tab/>
        <w:t xml:space="preserve">Vedanta v. </w:t>
      </w:r>
      <w:proofErr w:type="spellStart"/>
      <w:r>
        <w:rPr>
          <w:b/>
          <w:bCs/>
          <w:i/>
          <w:iCs/>
          <w:color w:val="auto"/>
          <w:sz w:val="24"/>
          <w:szCs w:val="24"/>
          <w:lang w:val="en-US"/>
        </w:rPr>
        <w:t>Lungowe</w:t>
      </w:r>
      <w:proofErr w:type="spellEnd"/>
    </w:p>
    <w:p w14:paraId="0A7362A6" w14:textId="77502A89" w:rsidR="00D805AB" w:rsidRDefault="00D805AB" w:rsidP="004901BD">
      <w:pPr>
        <w:pStyle w:val="BodyText"/>
        <w:jc w:val="both"/>
        <w:rPr>
          <w:i/>
          <w:iCs/>
          <w:color w:val="auto"/>
          <w:sz w:val="24"/>
          <w:szCs w:val="24"/>
          <w:lang w:val="en-US"/>
        </w:rPr>
      </w:pPr>
      <w:r w:rsidRPr="00D805AB">
        <w:rPr>
          <w:i/>
          <w:iCs/>
          <w:color w:val="auto"/>
          <w:sz w:val="24"/>
          <w:szCs w:val="24"/>
          <w:lang w:val="en-US"/>
        </w:rPr>
        <w:t xml:space="preserve">How do the judgements in Chandler and Vedanta measure up to the </w:t>
      </w:r>
      <w:r>
        <w:rPr>
          <w:i/>
          <w:iCs/>
          <w:color w:val="auto"/>
          <w:sz w:val="24"/>
          <w:szCs w:val="24"/>
          <w:lang w:val="en-US"/>
        </w:rPr>
        <w:t xml:space="preserve">Adams decision? How do they compare to the French, German and US approach to group law? </w:t>
      </w:r>
    </w:p>
    <w:p w14:paraId="1F46D648" w14:textId="56D00461" w:rsidR="00D805AB" w:rsidRPr="00D805AB" w:rsidRDefault="00D805AB" w:rsidP="004901BD">
      <w:pPr>
        <w:pStyle w:val="BodyText"/>
        <w:jc w:val="both"/>
        <w:rPr>
          <w:i/>
          <w:iCs/>
          <w:color w:val="auto"/>
          <w:sz w:val="24"/>
          <w:szCs w:val="24"/>
          <w:lang w:val="en-US"/>
        </w:rPr>
      </w:pPr>
      <w:r>
        <w:rPr>
          <w:i/>
          <w:iCs/>
          <w:color w:val="auto"/>
          <w:sz w:val="24"/>
          <w:szCs w:val="24"/>
          <w:lang w:val="en-US"/>
        </w:rPr>
        <w:t>Can you explain how these decisions bridge the gap between veil piercing and group liability?</w:t>
      </w:r>
    </w:p>
    <w:sectPr w:rsidR="00D805AB" w:rsidRPr="00D805AB" w:rsidSect="004D54F4">
      <w:headerReference w:type="even" r:id="rId9"/>
      <w:headerReference w:type="default" r:id="rId10"/>
      <w:footerReference w:type="even" r:id="rId11"/>
      <w:footerReference w:type="default" r:id="rId12"/>
      <w:headerReference w:type="first" r:id="rId13"/>
      <w:footerReference w:type="first" r:id="rId14"/>
      <w:pgSz w:w="11906" w:h="16838"/>
      <w:pgMar w:top="851" w:right="1191" w:bottom="907"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0B220" w14:textId="77777777" w:rsidR="009E2341" w:rsidRDefault="009E2341" w:rsidP="00DB3175">
      <w:pPr>
        <w:spacing w:after="0" w:line="240" w:lineRule="auto"/>
      </w:pPr>
      <w:r>
        <w:separator/>
      </w:r>
    </w:p>
  </w:endnote>
  <w:endnote w:type="continuationSeparator" w:id="0">
    <w:p w14:paraId="45981A82" w14:textId="77777777" w:rsidR="009E2341" w:rsidRDefault="009E2341" w:rsidP="00DB3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
    <w:panose1 w:val="02010609000101010101"/>
    <w:charset w:val="88"/>
    <w:family w:val="modern"/>
    <w:pitch w:val="fixed"/>
    <w:sig w:usb0="A00002FF" w:usb1="28CFFCFA" w:usb2="00000016" w:usb3="00000000" w:csb0="00100001"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26543" w14:textId="77777777" w:rsidR="00DB3175" w:rsidRDefault="00DB31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09923" w14:textId="77777777" w:rsidR="00DB3175" w:rsidRDefault="00DB31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CA202" w14:textId="77777777" w:rsidR="00DB3175" w:rsidRDefault="00DB31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0BFDC" w14:textId="77777777" w:rsidR="009E2341" w:rsidRDefault="009E2341" w:rsidP="00DB3175">
      <w:pPr>
        <w:spacing w:after="0" w:line="240" w:lineRule="auto"/>
      </w:pPr>
      <w:r>
        <w:separator/>
      </w:r>
    </w:p>
  </w:footnote>
  <w:footnote w:type="continuationSeparator" w:id="0">
    <w:p w14:paraId="7D5388E4" w14:textId="77777777" w:rsidR="009E2341" w:rsidRDefault="009E2341" w:rsidP="00DB31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930CE" w14:textId="77777777" w:rsidR="00DB3175" w:rsidRDefault="00DB31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815F7" w14:textId="77777777" w:rsidR="00DB3175" w:rsidRDefault="00DB31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75094" w14:textId="77777777" w:rsidR="00DB3175" w:rsidRDefault="00DB3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A5B0F"/>
    <w:multiLevelType w:val="multilevel"/>
    <w:tmpl w:val="53A8EE16"/>
    <w:lvl w:ilvl="0">
      <w:start w:val="1"/>
      <w:numFmt w:val="decimal"/>
      <w:pStyle w:val="ListHeading1White"/>
      <w:suff w:val="space"/>
      <w:lvlText w:val="%1."/>
      <w:lvlJc w:val="left"/>
      <w:pPr>
        <w:ind w:left="0" w:firstLine="0"/>
      </w:pPr>
      <w:rPr>
        <w:rFonts w:hint="default"/>
        <w:color w:val="FFFFFF" w:themeColor="background1"/>
      </w:rPr>
    </w:lvl>
    <w:lvl w:ilvl="1">
      <w:start w:val="1"/>
      <w:numFmt w:val="decimal"/>
      <w:pStyle w:val="ListHeading2"/>
      <w:suff w:val="space"/>
      <w:lvlText w:val="%1.%2"/>
      <w:lvlJc w:val="left"/>
      <w:pPr>
        <w:ind w:left="0" w:firstLine="0"/>
      </w:pPr>
      <w:rPr>
        <w:rFonts w:hint="default"/>
        <w:color w:val="00A2E0" w:themeColor="accent2"/>
      </w:rPr>
    </w:lvl>
    <w:lvl w:ilvl="2">
      <w:start w:val="1"/>
      <w:numFmt w:val="decimal"/>
      <w:pStyle w:val="ListHeading3"/>
      <w:suff w:val="space"/>
      <w:lvlText w:val="%1.%2.%3"/>
      <w:lvlJc w:val="left"/>
      <w:pPr>
        <w:ind w:left="0" w:firstLine="0"/>
      </w:pPr>
      <w:rPr>
        <w:rFonts w:ascii="Arial Black" w:hAnsi="Arial Black" w:hint="default"/>
        <w:b/>
        <w:i w:val="0"/>
        <w:color w:val="06357A" w:themeColor="accent1"/>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3E93CD5"/>
    <w:multiLevelType w:val="multilevel"/>
    <w:tmpl w:val="06821370"/>
    <w:styleLink w:val="NotesBullet"/>
    <w:lvl w:ilvl="0">
      <w:start w:val="1"/>
      <w:numFmt w:val="bullet"/>
      <w:pStyle w:val="NotesBullet0"/>
      <w:lvlText w:val=""/>
      <w:lvlJc w:val="left"/>
      <w:pPr>
        <w:ind w:left="170" w:hanging="170"/>
      </w:pPr>
      <w:rPr>
        <w:rFonts w:ascii="Wingdings 2" w:hAnsi="Wingdings 2" w:hint="default"/>
        <w:color w:val="auto"/>
      </w:rPr>
    </w:lvl>
    <w:lvl w:ilvl="1">
      <w:start w:val="1"/>
      <w:numFmt w:val="bullet"/>
      <w:lvlText w:val="–"/>
      <w:lvlJc w:val="left"/>
      <w:pPr>
        <w:ind w:left="340" w:hanging="170"/>
      </w:pPr>
      <w:rPr>
        <w:rFonts w:ascii="Arial" w:hAnsi="Arial" w:hint="default"/>
        <w:color w:val="auto"/>
      </w:rPr>
    </w:lvl>
    <w:lvl w:ilvl="2">
      <w:start w:val="1"/>
      <w:numFmt w:val="bullet"/>
      <w:lvlText w:val="○"/>
      <w:lvlJc w:val="left"/>
      <w:pPr>
        <w:ind w:left="510" w:hanging="170"/>
      </w:pPr>
      <w:rPr>
        <w:rFonts w:ascii="Arial" w:hAnsi="Arial" w:hint="default"/>
        <w:color w:val="auto"/>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none"/>
      <w:lvlText w:val=""/>
      <w:lvlJc w:val="left"/>
      <w:pPr>
        <w:ind w:left="1190" w:hanging="170"/>
      </w:pPr>
      <w:rPr>
        <w:rFonts w:hint="default"/>
      </w:rPr>
    </w:lvl>
    <w:lvl w:ilvl="7">
      <w:start w:val="1"/>
      <w:numFmt w:val="none"/>
      <w:lvlText w:val=""/>
      <w:lvlJc w:val="left"/>
      <w:pPr>
        <w:ind w:left="1360" w:hanging="170"/>
      </w:pPr>
      <w:rPr>
        <w:rFonts w:hint="default"/>
      </w:rPr>
    </w:lvl>
    <w:lvl w:ilvl="8">
      <w:start w:val="1"/>
      <w:numFmt w:val="none"/>
      <w:lvlText w:val=""/>
      <w:lvlJc w:val="left"/>
      <w:pPr>
        <w:ind w:left="1530" w:hanging="170"/>
      </w:pPr>
      <w:rPr>
        <w:rFonts w:hint="default"/>
      </w:rPr>
    </w:lvl>
  </w:abstractNum>
  <w:abstractNum w:abstractNumId="2" w15:restartNumberingAfterBreak="0">
    <w:nsid w:val="0FB11B13"/>
    <w:multiLevelType w:val="multilevel"/>
    <w:tmpl w:val="DAA0AF14"/>
    <w:numStyleLink w:val="AnnexHeading"/>
  </w:abstractNum>
  <w:abstractNum w:abstractNumId="3" w15:restartNumberingAfterBreak="0">
    <w:nsid w:val="14E7250F"/>
    <w:multiLevelType w:val="multilevel"/>
    <w:tmpl w:val="4B5A14BA"/>
    <w:numStyleLink w:val="ListNumbers"/>
  </w:abstractNum>
  <w:abstractNum w:abstractNumId="4" w15:restartNumberingAfterBreak="0">
    <w:nsid w:val="24737B8D"/>
    <w:multiLevelType w:val="multilevel"/>
    <w:tmpl w:val="C512F44A"/>
    <w:numStyleLink w:val="ListBullets"/>
  </w:abstractNum>
  <w:abstractNum w:abstractNumId="5" w15:restartNumberingAfterBreak="0">
    <w:nsid w:val="30567E88"/>
    <w:multiLevelType w:val="hybridMultilevel"/>
    <w:tmpl w:val="C60C38A0"/>
    <w:lvl w:ilvl="0" w:tplc="899EF12C">
      <w:start w:val="1"/>
      <w:numFmt w:val="bullet"/>
      <w:lvlText w:val=""/>
      <w:lvlJc w:val="left"/>
      <w:pPr>
        <w:tabs>
          <w:tab w:val="num" w:pos="360"/>
        </w:tabs>
        <w:ind w:left="360" w:hanging="360"/>
      </w:pPr>
      <w:rPr>
        <w:rFonts w:ascii="Symbol" w:hAnsi="Symbol" w:hint="default"/>
        <w:color w:val="00A2E0" w:themeColor="accent2"/>
        <w:sz w:val="18"/>
      </w:rPr>
    </w:lvl>
    <w:lvl w:ilvl="1" w:tplc="FFFFFFFF" w:tentative="1">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30CB1427"/>
    <w:multiLevelType w:val="multilevel"/>
    <w:tmpl w:val="06821370"/>
    <w:numStyleLink w:val="NotesBullet"/>
  </w:abstractNum>
  <w:abstractNum w:abstractNumId="7" w15:restartNumberingAfterBreak="0">
    <w:nsid w:val="376316F6"/>
    <w:multiLevelType w:val="multilevel"/>
    <w:tmpl w:val="9AFA068E"/>
    <w:styleLink w:val="ListHeadings"/>
    <w:lvl w:ilvl="0">
      <w:start w:val="1"/>
      <w:numFmt w:val="decimal"/>
      <w:suff w:val="space"/>
      <w:lvlText w:val="%1."/>
      <w:lvlJc w:val="left"/>
      <w:pPr>
        <w:ind w:left="0" w:firstLine="0"/>
      </w:pPr>
      <w:rPr>
        <w:rFonts w:hint="default"/>
        <w:color w:val="FFFFFF" w:themeColor="background1"/>
      </w:rPr>
    </w:lvl>
    <w:lvl w:ilvl="1">
      <w:start w:val="1"/>
      <w:numFmt w:val="decimal"/>
      <w:suff w:val="space"/>
      <w:lvlText w:val="%1.%2"/>
      <w:lvlJc w:val="left"/>
      <w:pPr>
        <w:ind w:left="0" w:firstLine="0"/>
      </w:pPr>
      <w:rPr>
        <w:rFonts w:hint="default"/>
        <w:color w:val="00A2E0" w:themeColor="accent2"/>
      </w:rPr>
    </w:lvl>
    <w:lvl w:ilvl="2">
      <w:start w:val="1"/>
      <w:numFmt w:val="decimal"/>
      <w:suff w:val="space"/>
      <w:lvlText w:val="%1.%2.%3"/>
      <w:lvlJc w:val="left"/>
      <w:pPr>
        <w:ind w:left="0" w:firstLine="0"/>
      </w:pPr>
      <w:rPr>
        <w:rFonts w:ascii="Arial Black" w:hAnsi="Arial Black" w:hint="default"/>
        <w:b/>
        <w:i w:val="0"/>
        <w:color w:val="06357A" w:themeColor="accent1"/>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3A75568D"/>
    <w:multiLevelType w:val="multilevel"/>
    <w:tmpl w:val="73FC21F8"/>
    <w:styleLink w:val="NotesNumber"/>
    <w:lvl w:ilvl="0">
      <w:start w:val="1"/>
      <w:numFmt w:val="decimal"/>
      <w:pStyle w:val="NotesNumber0"/>
      <w:lvlText w:val="%1."/>
      <w:lvlJc w:val="left"/>
      <w:pPr>
        <w:ind w:left="170" w:hanging="170"/>
      </w:pPr>
      <w:rPr>
        <w:rFonts w:hint="default"/>
      </w:rPr>
    </w:lvl>
    <w:lvl w:ilvl="1">
      <w:start w:val="1"/>
      <w:numFmt w:val="decimal"/>
      <w:lvlText w:val="%1.%2"/>
      <w:lvlJc w:val="left"/>
      <w:pPr>
        <w:ind w:left="454" w:hanging="284"/>
      </w:pPr>
      <w:rPr>
        <w:rFonts w:hint="default"/>
      </w:rPr>
    </w:lvl>
    <w:lvl w:ilvl="2">
      <w:start w:val="1"/>
      <w:numFmt w:val="decimal"/>
      <w:lvlText w:val="%1.%2.%3"/>
      <w:lvlJc w:val="left"/>
      <w:pPr>
        <w:ind w:left="907" w:hanging="453"/>
      </w:pPr>
      <w:rPr>
        <w:rFonts w:hint="default"/>
      </w:rPr>
    </w:lvl>
    <w:lvl w:ilvl="3">
      <w:start w:val="1"/>
      <w:numFmt w:val="none"/>
      <w:lvlText w:val=""/>
      <w:lvlJc w:val="left"/>
      <w:pPr>
        <w:ind w:left="908" w:hanging="227"/>
      </w:pPr>
      <w:rPr>
        <w:rFonts w:hint="default"/>
      </w:rPr>
    </w:lvl>
    <w:lvl w:ilvl="4">
      <w:start w:val="1"/>
      <w:numFmt w:val="none"/>
      <w:lvlText w:val=""/>
      <w:lvlJc w:val="left"/>
      <w:pPr>
        <w:ind w:left="1135" w:hanging="227"/>
      </w:pPr>
      <w:rPr>
        <w:rFonts w:hint="default"/>
      </w:rPr>
    </w:lvl>
    <w:lvl w:ilvl="5">
      <w:start w:val="1"/>
      <w:numFmt w:val="none"/>
      <w:lvlText w:val=""/>
      <w:lvlJc w:val="left"/>
      <w:pPr>
        <w:ind w:left="1362" w:hanging="227"/>
      </w:pPr>
      <w:rPr>
        <w:rFonts w:hint="default"/>
      </w:rPr>
    </w:lvl>
    <w:lvl w:ilvl="6">
      <w:start w:val="1"/>
      <w:numFmt w:val="none"/>
      <w:lvlText w:val=""/>
      <w:lvlJc w:val="left"/>
      <w:pPr>
        <w:ind w:left="1589" w:hanging="227"/>
      </w:pPr>
      <w:rPr>
        <w:rFonts w:hint="default"/>
      </w:rPr>
    </w:lvl>
    <w:lvl w:ilvl="7">
      <w:start w:val="1"/>
      <w:numFmt w:val="none"/>
      <w:lvlText w:val=""/>
      <w:lvlJc w:val="left"/>
      <w:pPr>
        <w:ind w:left="1816" w:hanging="227"/>
      </w:pPr>
      <w:rPr>
        <w:rFonts w:hint="default"/>
      </w:rPr>
    </w:lvl>
    <w:lvl w:ilvl="8">
      <w:start w:val="1"/>
      <w:numFmt w:val="none"/>
      <w:lvlText w:val=""/>
      <w:lvlJc w:val="left"/>
      <w:pPr>
        <w:ind w:left="2043" w:hanging="227"/>
      </w:pPr>
      <w:rPr>
        <w:rFonts w:hint="default"/>
      </w:rPr>
    </w:lvl>
  </w:abstractNum>
  <w:abstractNum w:abstractNumId="9" w15:restartNumberingAfterBreak="0">
    <w:nsid w:val="4DF57664"/>
    <w:multiLevelType w:val="multilevel"/>
    <w:tmpl w:val="C512F44A"/>
    <w:styleLink w:val="ListBullets"/>
    <w:lvl w:ilvl="0">
      <w:start w:val="1"/>
      <w:numFmt w:val="bullet"/>
      <w:lvlRestart w:val="0"/>
      <w:pStyle w:val="ListBullet"/>
      <w:lvlText w:val="•"/>
      <w:lvlJc w:val="left"/>
      <w:pPr>
        <w:ind w:left="284" w:hanging="284"/>
      </w:pPr>
      <w:rPr>
        <w:rFonts w:ascii="Calibri" w:hAnsi="Calibri" w:hint="default"/>
        <w:color w:val="00A2E0" w:themeColor="accent2"/>
      </w:rPr>
    </w:lvl>
    <w:lvl w:ilvl="1">
      <w:start w:val="1"/>
      <w:numFmt w:val="bullet"/>
      <w:lvlText w:val="•"/>
      <w:lvlJc w:val="left"/>
      <w:pPr>
        <w:ind w:left="567" w:hanging="283"/>
      </w:pPr>
      <w:rPr>
        <w:rFonts w:ascii="Calibri" w:hAnsi="Calibri" w:hint="default"/>
        <w:color w:val="00A2E0" w:themeColor="accent2"/>
      </w:rPr>
    </w:lvl>
    <w:lvl w:ilvl="2">
      <w:start w:val="1"/>
      <w:numFmt w:val="bullet"/>
      <w:lvlText w:val="–"/>
      <w:lvlJc w:val="left"/>
      <w:pPr>
        <w:ind w:left="851" w:hanging="284"/>
      </w:pPr>
      <w:rPr>
        <w:rFonts w:ascii="Arial" w:hAnsi="Arial" w:hint="default"/>
        <w:color w:val="00A2E0" w:themeColor="accent2"/>
      </w:rPr>
    </w:lvl>
    <w:lvl w:ilvl="3">
      <w:start w:val="1"/>
      <w:numFmt w:val="none"/>
      <w:lvlText w:val=""/>
      <w:lvlJc w:val="left"/>
      <w:pPr>
        <w:ind w:left="1021" w:firstLine="0"/>
      </w:pPr>
      <w:rPr>
        <w:rFonts w:hint="default"/>
      </w:rPr>
    </w:lvl>
    <w:lvl w:ilvl="4">
      <w:start w:val="1"/>
      <w:numFmt w:val="none"/>
      <w:lvlText w:val=""/>
      <w:lvlJc w:val="left"/>
      <w:pPr>
        <w:ind w:left="1021" w:firstLine="0"/>
      </w:pPr>
      <w:rPr>
        <w:rFonts w:hint="default"/>
      </w:rPr>
    </w:lvl>
    <w:lvl w:ilvl="5">
      <w:start w:val="1"/>
      <w:numFmt w:val="none"/>
      <w:lvlText w:val=""/>
      <w:lvlJc w:val="left"/>
      <w:pPr>
        <w:ind w:left="1021" w:firstLine="0"/>
      </w:pPr>
      <w:rPr>
        <w:rFonts w:hint="default"/>
      </w:rPr>
    </w:lvl>
    <w:lvl w:ilvl="6">
      <w:start w:val="1"/>
      <w:numFmt w:val="none"/>
      <w:lvlText w:val=""/>
      <w:lvlJc w:val="left"/>
      <w:pPr>
        <w:ind w:left="1021" w:firstLine="0"/>
      </w:pPr>
      <w:rPr>
        <w:rFonts w:hint="default"/>
      </w:rPr>
    </w:lvl>
    <w:lvl w:ilvl="7">
      <w:start w:val="1"/>
      <w:numFmt w:val="none"/>
      <w:lvlText w:val=""/>
      <w:lvlJc w:val="left"/>
      <w:pPr>
        <w:ind w:left="1021" w:firstLine="0"/>
      </w:pPr>
      <w:rPr>
        <w:rFonts w:hint="default"/>
      </w:rPr>
    </w:lvl>
    <w:lvl w:ilvl="8">
      <w:start w:val="1"/>
      <w:numFmt w:val="none"/>
      <w:lvlText w:val=""/>
      <w:lvlJc w:val="left"/>
      <w:pPr>
        <w:ind w:left="1021" w:firstLine="0"/>
      </w:pPr>
      <w:rPr>
        <w:rFonts w:hint="default"/>
      </w:rPr>
    </w:lvl>
  </w:abstractNum>
  <w:abstractNum w:abstractNumId="10" w15:restartNumberingAfterBreak="0">
    <w:nsid w:val="5354128B"/>
    <w:multiLevelType w:val="multilevel"/>
    <w:tmpl w:val="0809001D"/>
    <w:styleLink w:val="AnnexHeadings"/>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4EF601B"/>
    <w:multiLevelType w:val="multilevel"/>
    <w:tmpl w:val="4B5A14BA"/>
    <w:styleLink w:val="ListNumbers"/>
    <w:lvl w:ilvl="0">
      <w:start w:val="1"/>
      <w:numFmt w:val="decimal"/>
      <w:lvlRestart w:val="0"/>
      <w:pStyle w:val="ListNumber"/>
      <w:lvlText w:val="%1."/>
      <w:lvlJc w:val="left"/>
      <w:pPr>
        <w:ind w:left="340" w:hanging="340"/>
      </w:pPr>
      <w:rPr>
        <w:rFonts w:hint="default"/>
        <w:color w:val="00A2E0" w:themeColor="accent2"/>
      </w:rPr>
    </w:lvl>
    <w:lvl w:ilvl="1">
      <w:start w:val="1"/>
      <w:numFmt w:val="decimal"/>
      <w:lvlText w:val="%1.%2"/>
      <w:lvlJc w:val="left"/>
      <w:pPr>
        <w:ind w:left="794" w:hanging="454"/>
      </w:pPr>
      <w:rPr>
        <w:rFonts w:hint="default"/>
        <w:color w:val="00A2E0" w:themeColor="accent2"/>
      </w:rPr>
    </w:lvl>
    <w:lvl w:ilvl="2">
      <w:start w:val="1"/>
      <w:numFmt w:val="decimal"/>
      <w:lvlText w:val="%1.%2.%3"/>
      <w:lvlJc w:val="left"/>
      <w:pPr>
        <w:ind w:left="1361" w:hanging="567"/>
      </w:pPr>
      <w:rPr>
        <w:rFonts w:hint="default"/>
        <w:color w:val="00A2E0" w:themeColor="accent2"/>
      </w:rPr>
    </w:lvl>
    <w:lvl w:ilvl="3">
      <w:start w:val="1"/>
      <w:numFmt w:val="none"/>
      <w:lvlText w:val=""/>
      <w:lvlJc w:val="left"/>
      <w:pPr>
        <w:tabs>
          <w:tab w:val="num" w:pos="1021"/>
        </w:tabs>
        <w:ind w:left="1021" w:firstLine="0"/>
      </w:pPr>
      <w:rPr>
        <w:rFonts w:hint="default"/>
      </w:rPr>
    </w:lvl>
    <w:lvl w:ilvl="4">
      <w:start w:val="1"/>
      <w:numFmt w:val="none"/>
      <w:lvlText w:val=""/>
      <w:lvlJc w:val="left"/>
      <w:pPr>
        <w:tabs>
          <w:tab w:val="num" w:pos="1021"/>
        </w:tabs>
        <w:ind w:left="1021" w:firstLine="0"/>
      </w:pPr>
      <w:rPr>
        <w:rFonts w:hint="default"/>
      </w:rPr>
    </w:lvl>
    <w:lvl w:ilvl="5">
      <w:start w:val="1"/>
      <w:numFmt w:val="none"/>
      <w:lvlText w:val=""/>
      <w:lvlJc w:val="left"/>
      <w:pPr>
        <w:tabs>
          <w:tab w:val="num" w:pos="1021"/>
        </w:tabs>
        <w:ind w:left="1021" w:firstLine="0"/>
      </w:pPr>
      <w:rPr>
        <w:rFonts w:hint="default"/>
      </w:rPr>
    </w:lvl>
    <w:lvl w:ilvl="6">
      <w:start w:val="1"/>
      <w:numFmt w:val="none"/>
      <w:lvlText w:val=""/>
      <w:lvlJc w:val="left"/>
      <w:pPr>
        <w:tabs>
          <w:tab w:val="num" w:pos="1021"/>
        </w:tabs>
        <w:ind w:left="1021" w:firstLine="0"/>
      </w:pPr>
      <w:rPr>
        <w:rFonts w:hint="default"/>
      </w:rPr>
    </w:lvl>
    <w:lvl w:ilvl="7">
      <w:start w:val="1"/>
      <w:numFmt w:val="none"/>
      <w:lvlText w:val=""/>
      <w:lvlJc w:val="left"/>
      <w:pPr>
        <w:tabs>
          <w:tab w:val="num" w:pos="1021"/>
        </w:tabs>
        <w:ind w:left="1021" w:firstLine="0"/>
      </w:pPr>
      <w:rPr>
        <w:rFonts w:hint="default"/>
      </w:rPr>
    </w:lvl>
    <w:lvl w:ilvl="8">
      <w:start w:val="1"/>
      <w:numFmt w:val="none"/>
      <w:lvlText w:val=""/>
      <w:lvlJc w:val="left"/>
      <w:pPr>
        <w:ind w:left="1021" w:firstLine="0"/>
      </w:pPr>
      <w:rPr>
        <w:rFonts w:hint="default"/>
      </w:rPr>
    </w:lvl>
  </w:abstractNum>
  <w:abstractNum w:abstractNumId="12" w15:restartNumberingAfterBreak="0">
    <w:nsid w:val="6B684A40"/>
    <w:multiLevelType w:val="multilevel"/>
    <w:tmpl w:val="DCC29FFA"/>
    <w:styleLink w:val="ListHeading1LightBlue"/>
    <w:lvl w:ilvl="0">
      <w:start w:val="1"/>
      <w:numFmt w:val="decimal"/>
      <w:suff w:val="space"/>
      <w:lvlText w:val="%1."/>
      <w:lvlJc w:val="left"/>
      <w:pPr>
        <w:ind w:left="284" w:hanging="284"/>
      </w:pPr>
      <w:rPr>
        <w:rFonts w:asciiTheme="majorHAnsi" w:hAnsiTheme="majorHAnsi" w:hint="default"/>
        <w:color w:val="00A2E0" w:themeColor="accent2"/>
        <w:sz w:val="52"/>
      </w:rPr>
    </w:lvl>
    <w:lvl w:ilvl="1">
      <w:start w:val="1"/>
      <w:numFmt w:val="none"/>
      <w:suff w:val="space"/>
      <w:lvlText w:val=""/>
      <w:lvlJc w:val="left"/>
      <w:pPr>
        <w:ind w:left="0" w:firstLine="0"/>
      </w:pPr>
      <w:rPr>
        <w:rFonts w:hint="default"/>
      </w:rPr>
    </w:lvl>
    <w:lvl w:ilvl="2">
      <w:start w:val="1"/>
      <w:numFmt w:val="none"/>
      <w:suff w:val="space"/>
      <w:lvlText w:val=""/>
      <w:lvlJc w:val="left"/>
      <w:pPr>
        <w:ind w:left="0" w:firstLine="0"/>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1800"/>
      </w:pPr>
      <w:rPr>
        <w:rFonts w:hint="default"/>
      </w:rPr>
    </w:lvl>
    <w:lvl w:ilvl="6">
      <w:start w:val="1"/>
      <w:numFmt w:val="none"/>
      <w:suff w:val="space"/>
      <w:lvlText w:val=""/>
      <w:lvlJc w:val="left"/>
      <w:pPr>
        <w:ind w:left="0" w:hanging="32767"/>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3" w15:restartNumberingAfterBreak="0">
    <w:nsid w:val="70694E31"/>
    <w:multiLevelType w:val="hybridMultilevel"/>
    <w:tmpl w:val="C516559C"/>
    <w:lvl w:ilvl="0" w:tplc="B0F2CFDA">
      <w:start w:val="1"/>
      <w:numFmt w:val="bullet"/>
      <w:lvlText w:val="•"/>
      <w:lvlJc w:val="left"/>
      <w:pPr>
        <w:tabs>
          <w:tab w:val="num" w:pos="720"/>
        </w:tabs>
        <w:ind w:left="720" w:hanging="360"/>
      </w:pPr>
      <w:rPr>
        <w:rFonts w:ascii="Arial" w:hAnsi="Arial" w:hint="default"/>
      </w:rPr>
    </w:lvl>
    <w:lvl w:ilvl="1" w:tplc="99A4B612" w:tentative="1">
      <w:start w:val="1"/>
      <w:numFmt w:val="bullet"/>
      <w:lvlText w:val="•"/>
      <w:lvlJc w:val="left"/>
      <w:pPr>
        <w:tabs>
          <w:tab w:val="num" w:pos="1440"/>
        </w:tabs>
        <w:ind w:left="1440" w:hanging="360"/>
      </w:pPr>
      <w:rPr>
        <w:rFonts w:ascii="Arial" w:hAnsi="Arial" w:hint="default"/>
      </w:rPr>
    </w:lvl>
    <w:lvl w:ilvl="2" w:tplc="6EE24FF4" w:tentative="1">
      <w:start w:val="1"/>
      <w:numFmt w:val="bullet"/>
      <w:lvlText w:val="•"/>
      <w:lvlJc w:val="left"/>
      <w:pPr>
        <w:tabs>
          <w:tab w:val="num" w:pos="2160"/>
        </w:tabs>
        <w:ind w:left="2160" w:hanging="360"/>
      </w:pPr>
      <w:rPr>
        <w:rFonts w:ascii="Arial" w:hAnsi="Arial" w:hint="default"/>
      </w:rPr>
    </w:lvl>
    <w:lvl w:ilvl="3" w:tplc="BA0CD60E" w:tentative="1">
      <w:start w:val="1"/>
      <w:numFmt w:val="bullet"/>
      <w:lvlText w:val="•"/>
      <w:lvlJc w:val="left"/>
      <w:pPr>
        <w:tabs>
          <w:tab w:val="num" w:pos="2880"/>
        </w:tabs>
        <w:ind w:left="2880" w:hanging="360"/>
      </w:pPr>
      <w:rPr>
        <w:rFonts w:ascii="Arial" w:hAnsi="Arial" w:hint="default"/>
      </w:rPr>
    </w:lvl>
    <w:lvl w:ilvl="4" w:tplc="57967A32" w:tentative="1">
      <w:start w:val="1"/>
      <w:numFmt w:val="bullet"/>
      <w:lvlText w:val="•"/>
      <w:lvlJc w:val="left"/>
      <w:pPr>
        <w:tabs>
          <w:tab w:val="num" w:pos="3600"/>
        </w:tabs>
        <w:ind w:left="3600" w:hanging="360"/>
      </w:pPr>
      <w:rPr>
        <w:rFonts w:ascii="Arial" w:hAnsi="Arial" w:hint="default"/>
      </w:rPr>
    </w:lvl>
    <w:lvl w:ilvl="5" w:tplc="5F5CBFA0" w:tentative="1">
      <w:start w:val="1"/>
      <w:numFmt w:val="bullet"/>
      <w:lvlText w:val="•"/>
      <w:lvlJc w:val="left"/>
      <w:pPr>
        <w:tabs>
          <w:tab w:val="num" w:pos="4320"/>
        </w:tabs>
        <w:ind w:left="4320" w:hanging="360"/>
      </w:pPr>
      <w:rPr>
        <w:rFonts w:ascii="Arial" w:hAnsi="Arial" w:hint="default"/>
      </w:rPr>
    </w:lvl>
    <w:lvl w:ilvl="6" w:tplc="FBC2FDF8" w:tentative="1">
      <w:start w:val="1"/>
      <w:numFmt w:val="bullet"/>
      <w:lvlText w:val="•"/>
      <w:lvlJc w:val="left"/>
      <w:pPr>
        <w:tabs>
          <w:tab w:val="num" w:pos="5040"/>
        </w:tabs>
        <w:ind w:left="5040" w:hanging="360"/>
      </w:pPr>
      <w:rPr>
        <w:rFonts w:ascii="Arial" w:hAnsi="Arial" w:hint="default"/>
      </w:rPr>
    </w:lvl>
    <w:lvl w:ilvl="7" w:tplc="DABE2F30" w:tentative="1">
      <w:start w:val="1"/>
      <w:numFmt w:val="bullet"/>
      <w:lvlText w:val="•"/>
      <w:lvlJc w:val="left"/>
      <w:pPr>
        <w:tabs>
          <w:tab w:val="num" w:pos="5760"/>
        </w:tabs>
        <w:ind w:left="5760" w:hanging="360"/>
      </w:pPr>
      <w:rPr>
        <w:rFonts w:ascii="Arial" w:hAnsi="Arial" w:hint="default"/>
      </w:rPr>
    </w:lvl>
    <w:lvl w:ilvl="8" w:tplc="92A67A9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2144C29"/>
    <w:multiLevelType w:val="multilevel"/>
    <w:tmpl w:val="DAA0AF14"/>
    <w:styleLink w:val="AnnexHeading"/>
    <w:lvl w:ilvl="0">
      <w:start w:val="1"/>
      <w:numFmt w:val="decimal"/>
      <w:suff w:val="space"/>
      <w:lvlText w:val="Annex %1"/>
      <w:lvlJc w:val="left"/>
      <w:pPr>
        <w:ind w:left="0" w:firstLine="0"/>
      </w:pPr>
      <w:rPr>
        <w:rFonts w:asciiTheme="majorHAnsi" w:hAnsiTheme="majorHAnsi" w:hint="default"/>
        <w:color w:val="FFFFFF" w:themeColor="background1"/>
        <w:sz w:val="40"/>
      </w:rPr>
    </w:lvl>
    <w:lvl w:ilvl="1">
      <w:start w:val="1"/>
      <w:numFmt w:val="none"/>
      <w:pStyle w:val="AnnexHeading2"/>
      <w:lvlText w:val=""/>
      <w:lvlJc w:val="left"/>
      <w:pPr>
        <w:ind w:left="0" w:firstLine="0"/>
      </w:pPr>
      <w:rPr>
        <w:rFonts w:hint="default"/>
      </w:rPr>
    </w:lvl>
    <w:lvl w:ilvl="2">
      <w:start w:val="1"/>
      <w:numFmt w:val="none"/>
      <w:pStyle w:val="AnnexHeading3"/>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73ED2E77"/>
    <w:multiLevelType w:val="hybridMultilevel"/>
    <w:tmpl w:val="00E4789A"/>
    <w:lvl w:ilvl="0" w:tplc="2C8450D8">
      <w:start w:val="1"/>
      <w:numFmt w:val="bullet"/>
      <w:pStyle w:val="TableBullets"/>
      <w:lvlText w:val=""/>
      <w:lvlJc w:val="left"/>
      <w:pPr>
        <w:ind w:left="360" w:hanging="360"/>
      </w:pPr>
      <w:rPr>
        <w:rFonts w:ascii="Symbol" w:hAnsi="Symbol" w:hint="default"/>
        <w:color w:val="00A2E0" w:themeColor="accent2"/>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5007856">
    <w:abstractNumId w:val="14"/>
  </w:num>
  <w:num w:numId="2" w16cid:durableId="1773013034">
    <w:abstractNumId w:val="10"/>
  </w:num>
  <w:num w:numId="3" w16cid:durableId="1614436431">
    <w:abstractNumId w:val="9"/>
  </w:num>
  <w:num w:numId="4" w16cid:durableId="662316648">
    <w:abstractNumId w:val="12"/>
  </w:num>
  <w:num w:numId="5" w16cid:durableId="770971061">
    <w:abstractNumId w:val="7"/>
  </w:num>
  <w:num w:numId="6" w16cid:durableId="2049065304">
    <w:abstractNumId w:val="11"/>
  </w:num>
  <w:num w:numId="7" w16cid:durableId="24601382">
    <w:abstractNumId w:val="1"/>
  </w:num>
  <w:num w:numId="8" w16cid:durableId="2100788460">
    <w:abstractNumId w:val="8"/>
  </w:num>
  <w:num w:numId="9" w16cid:durableId="880090897">
    <w:abstractNumId w:val="2"/>
  </w:num>
  <w:num w:numId="10" w16cid:durableId="23798827">
    <w:abstractNumId w:val="2"/>
  </w:num>
  <w:num w:numId="11" w16cid:durableId="817455218">
    <w:abstractNumId w:val="4"/>
  </w:num>
  <w:num w:numId="12" w16cid:durableId="810026926">
    <w:abstractNumId w:val="0"/>
  </w:num>
  <w:num w:numId="13" w16cid:durableId="1085808743">
    <w:abstractNumId w:val="3"/>
  </w:num>
  <w:num w:numId="14" w16cid:durableId="1462454414">
    <w:abstractNumId w:val="6"/>
  </w:num>
  <w:num w:numId="15" w16cid:durableId="866404209">
    <w:abstractNumId w:val="8"/>
  </w:num>
  <w:num w:numId="16" w16cid:durableId="109518828">
    <w:abstractNumId w:val="15"/>
  </w:num>
  <w:num w:numId="17" w16cid:durableId="2118596610">
    <w:abstractNumId w:val="5"/>
  </w:num>
  <w:num w:numId="18" w16cid:durableId="609052910">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3B2"/>
    <w:rsid w:val="00006DD8"/>
    <w:rsid w:val="00012EFE"/>
    <w:rsid w:val="000303E1"/>
    <w:rsid w:val="000418FD"/>
    <w:rsid w:val="000463A5"/>
    <w:rsid w:val="0005168B"/>
    <w:rsid w:val="000A7429"/>
    <w:rsid w:val="00190407"/>
    <w:rsid w:val="001C7AA5"/>
    <w:rsid w:val="001E4DF6"/>
    <w:rsid w:val="001F0B74"/>
    <w:rsid w:val="001F6AC5"/>
    <w:rsid w:val="00200E2E"/>
    <w:rsid w:val="00201722"/>
    <w:rsid w:val="0021215B"/>
    <w:rsid w:val="00222428"/>
    <w:rsid w:val="002617AD"/>
    <w:rsid w:val="002E3041"/>
    <w:rsid w:val="003042EF"/>
    <w:rsid w:val="00310BCF"/>
    <w:rsid w:val="0033768C"/>
    <w:rsid w:val="0035431F"/>
    <w:rsid w:val="00377E54"/>
    <w:rsid w:val="0038480D"/>
    <w:rsid w:val="00395E5B"/>
    <w:rsid w:val="003C1A7B"/>
    <w:rsid w:val="0040791F"/>
    <w:rsid w:val="00414369"/>
    <w:rsid w:val="004251B3"/>
    <w:rsid w:val="004270A2"/>
    <w:rsid w:val="00480898"/>
    <w:rsid w:val="004901BD"/>
    <w:rsid w:val="004A2490"/>
    <w:rsid w:val="004B028B"/>
    <w:rsid w:val="004D54F4"/>
    <w:rsid w:val="004D7DD5"/>
    <w:rsid w:val="00523976"/>
    <w:rsid w:val="005557E2"/>
    <w:rsid w:val="005B6659"/>
    <w:rsid w:val="005C48B8"/>
    <w:rsid w:val="005D6A1E"/>
    <w:rsid w:val="005D76E9"/>
    <w:rsid w:val="00617713"/>
    <w:rsid w:val="00642212"/>
    <w:rsid w:val="00642B7D"/>
    <w:rsid w:val="006A0D4D"/>
    <w:rsid w:val="00706ADC"/>
    <w:rsid w:val="00707870"/>
    <w:rsid w:val="007244CF"/>
    <w:rsid w:val="00772F39"/>
    <w:rsid w:val="007751A1"/>
    <w:rsid w:val="00776550"/>
    <w:rsid w:val="00782437"/>
    <w:rsid w:val="007903C4"/>
    <w:rsid w:val="00792FAB"/>
    <w:rsid w:val="007C4156"/>
    <w:rsid w:val="007D74BA"/>
    <w:rsid w:val="007E1DFD"/>
    <w:rsid w:val="00832B68"/>
    <w:rsid w:val="00843E97"/>
    <w:rsid w:val="008749E7"/>
    <w:rsid w:val="00884F3D"/>
    <w:rsid w:val="008A6F64"/>
    <w:rsid w:val="008E4C36"/>
    <w:rsid w:val="00921FF2"/>
    <w:rsid w:val="009A25F3"/>
    <w:rsid w:val="009D2B1A"/>
    <w:rsid w:val="009D4D1D"/>
    <w:rsid w:val="009E2341"/>
    <w:rsid w:val="00A00AE6"/>
    <w:rsid w:val="00A234C1"/>
    <w:rsid w:val="00A47F3E"/>
    <w:rsid w:val="00A64D26"/>
    <w:rsid w:val="00A96B46"/>
    <w:rsid w:val="00AC240E"/>
    <w:rsid w:val="00AF1FE8"/>
    <w:rsid w:val="00AF3F3A"/>
    <w:rsid w:val="00B6744D"/>
    <w:rsid w:val="00B71466"/>
    <w:rsid w:val="00B742D6"/>
    <w:rsid w:val="00B80D8C"/>
    <w:rsid w:val="00BB2977"/>
    <w:rsid w:val="00BD3E40"/>
    <w:rsid w:val="00C13C18"/>
    <w:rsid w:val="00C16562"/>
    <w:rsid w:val="00C179D5"/>
    <w:rsid w:val="00C472AC"/>
    <w:rsid w:val="00CB2742"/>
    <w:rsid w:val="00CD1135"/>
    <w:rsid w:val="00CE06CD"/>
    <w:rsid w:val="00CE2CBE"/>
    <w:rsid w:val="00D125A7"/>
    <w:rsid w:val="00D4296E"/>
    <w:rsid w:val="00D805AB"/>
    <w:rsid w:val="00D81B21"/>
    <w:rsid w:val="00D8681C"/>
    <w:rsid w:val="00DB13B2"/>
    <w:rsid w:val="00DB3175"/>
    <w:rsid w:val="00DB56F5"/>
    <w:rsid w:val="00DC1118"/>
    <w:rsid w:val="00DD607F"/>
    <w:rsid w:val="00E30B0E"/>
    <w:rsid w:val="00E52036"/>
    <w:rsid w:val="00E71884"/>
    <w:rsid w:val="00EA3051"/>
    <w:rsid w:val="00EB5D77"/>
    <w:rsid w:val="00EC5AAF"/>
    <w:rsid w:val="00EE3636"/>
    <w:rsid w:val="00F35FFF"/>
    <w:rsid w:val="00F43DC4"/>
    <w:rsid w:val="00FA15FB"/>
    <w:rsid w:val="00FA798B"/>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5C531"/>
  <w15:chartTrackingRefBased/>
  <w15:docId w15:val="{7D28B2CA-9303-4943-90AE-49722450B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9" w:unhideWhenUsed="1"/>
    <w:lsdException w:name="annotation text" w:semiHidden="1" w:unhideWhenUsed="1"/>
    <w:lsdException w:name="header" w:semiHidden="1" w:uiPriority="96" w:unhideWhenUsed="1"/>
    <w:lsdException w:name="footer" w:semiHidden="1" w:uiPriority="9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0" w:unhideWhenUsed="1"/>
    <w:lsdException w:name="endnote reference" w:semiHidden="1" w:unhideWhenUsed="1"/>
    <w:lsdException w:name="endnote text" w:semiHidden="1" w:uiPriority="8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7" w:unhideWhenUsed="1" w:qFormat="1"/>
    <w:lsdException w:name="List Number" w:semiHidden="1" w:uiPriority="7"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3"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4" w:qFormat="1"/>
    <w:lsdException w:name="Salutation" w:semiHidden="1" w:unhideWhenUsed="1"/>
    <w:lsdException w:name="Date" w:semiHidden="1" w:uiPriority="77"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1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1" w:qFormat="1"/>
    <w:lsdException w:name="Intense Emphasis" w:uiPriority="21" w:qFormat="1"/>
    <w:lsdException w:name="Subtle Reference" w:uiPriority="15" w:qFormat="1"/>
    <w:lsdException w:name="Intense Reference" w:uiPriority="15" w:qFormat="1"/>
    <w:lsdException w:name="Book Title" w:uiPriority="15"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AA5"/>
    <w:pPr>
      <w:spacing w:after="120" w:line="240" w:lineRule="atLeast"/>
    </w:pPr>
    <w:rPr>
      <w:kern w:val="0"/>
      <w14:ligatures w14:val="none"/>
    </w:rPr>
  </w:style>
  <w:style w:type="paragraph" w:styleId="Heading1">
    <w:name w:val="heading 1"/>
    <w:basedOn w:val="BaseHeading"/>
    <w:next w:val="BodyText"/>
    <w:link w:val="Heading1Char"/>
    <w:uiPriority w:val="4"/>
    <w:qFormat/>
    <w:rsid w:val="004D54F4"/>
    <w:pPr>
      <w:spacing w:after="180" w:line="216" w:lineRule="auto"/>
      <w:outlineLvl w:val="0"/>
    </w:pPr>
    <w:rPr>
      <w:rFonts w:eastAsiaTheme="majorEastAsia" w:cstheme="majorBidi"/>
      <w:color w:val="00A2E0" w:themeColor="accent2"/>
      <w:sz w:val="40"/>
      <w:szCs w:val="32"/>
    </w:rPr>
  </w:style>
  <w:style w:type="paragraph" w:styleId="Heading2">
    <w:name w:val="heading 2"/>
    <w:basedOn w:val="BaseHeading"/>
    <w:next w:val="BodyText"/>
    <w:link w:val="Heading2Char"/>
    <w:uiPriority w:val="4"/>
    <w:unhideWhenUsed/>
    <w:qFormat/>
    <w:rsid w:val="004D54F4"/>
    <w:pPr>
      <w:spacing w:after="180" w:line="216" w:lineRule="auto"/>
      <w:outlineLvl w:val="1"/>
    </w:pPr>
    <w:rPr>
      <w:rFonts w:eastAsiaTheme="majorEastAsia" w:cstheme="majorBidi"/>
      <w:color w:val="00A2E0" w:themeColor="accent2"/>
      <w:sz w:val="28"/>
      <w:szCs w:val="26"/>
    </w:rPr>
  </w:style>
  <w:style w:type="paragraph" w:styleId="Heading3">
    <w:name w:val="heading 3"/>
    <w:basedOn w:val="BaseHeading"/>
    <w:next w:val="BodyText"/>
    <w:link w:val="Heading3Char"/>
    <w:uiPriority w:val="4"/>
    <w:unhideWhenUsed/>
    <w:qFormat/>
    <w:rsid w:val="004D54F4"/>
    <w:pPr>
      <w:spacing w:line="288" w:lineRule="auto"/>
      <w:outlineLvl w:val="2"/>
    </w:pPr>
    <w:rPr>
      <w:rFonts w:ascii="Arial Black" w:eastAsiaTheme="majorEastAsia" w:hAnsi="Arial Black" w:cstheme="majorBidi"/>
      <w:sz w:val="18"/>
      <w:szCs w:val="24"/>
    </w:rPr>
  </w:style>
  <w:style w:type="paragraph" w:styleId="Heading4">
    <w:name w:val="heading 4"/>
    <w:basedOn w:val="BaseHeading"/>
    <w:next w:val="BodyText"/>
    <w:link w:val="Heading4Char"/>
    <w:uiPriority w:val="4"/>
    <w:semiHidden/>
    <w:qFormat/>
    <w:rsid w:val="004D54F4"/>
    <w:pPr>
      <w:spacing w:before="40"/>
      <w:outlineLvl w:val="3"/>
    </w:pPr>
    <w:rPr>
      <w:rFonts w:eastAsiaTheme="majorEastAsia" w:cstheme="majorBidi"/>
      <w:i/>
      <w:iCs/>
    </w:rPr>
  </w:style>
  <w:style w:type="paragraph" w:styleId="Heading5">
    <w:name w:val="heading 5"/>
    <w:basedOn w:val="BaseHeading"/>
    <w:next w:val="BodyText"/>
    <w:link w:val="Heading5Char"/>
    <w:uiPriority w:val="4"/>
    <w:semiHidden/>
    <w:qFormat/>
    <w:rsid w:val="004D54F4"/>
    <w:pPr>
      <w:spacing w:before="4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DB31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31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31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31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4D54F4"/>
    <w:rPr>
      <w:rFonts w:asciiTheme="majorHAnsi" w:eastAsiaTheme="majorEastAsia" w:hAnsiTheme="majorHAnsi" w:cstheme="majorBidi"/>
      <w:color w:val="00A2E0" w:themeColor="accent2"/>
      <w:kern w:val="0"/>
      <w:sz w:val="40"/>
      <w:szCs w:val="32"/>
      <w14:ligatures w14:val="none"/>
    </w:rPr>
  </w:style>
  <w:style w:type="character" w:customStyle="1" w:styleId="Heading2Char">
    <w:name w:val="Heading 2 Char"/>
    <w:basedOn w:val="DefaultParagraphFont"/>
    <w:link w:val="Heading2"/>
    <w:uiPriority w:val="4"/>
    <w:rsid w:val="004D54F4"/>
    <w:rPr>
      <w:rFonts w:asciiTheme="majorHAnsi" w:eastAsiaTheme="majorEastAsia" w:hAnsiTheme="majorHAnsi" w:cstheme="majorBidi"/>
      <w:color w:val="00A2E0" w:themeColor="accent2"/>
      <w:kern w:val="0"/>
      <w:sz w:val="28"/>
      <w:szCs w:val="26"/>
      <w14:ligatures w14:val="none"/>
    </w:rPr>
  </w:style>
  <w:style w:type="character" w:customStyle="1" w:styleId="Heading3Char">
    <w:name w:val="Heading 3 Char"/>
    <w:basedOn w:val="DefaultParagraphFont"/>
    <w:link w:val="Heading3"/>
    <w:uiPriority w:val="4"/>
    <w:rsid w:val="004D54F4"/>
    <w:rPr>
      <w:rFonts w:ascii="Arial Black" w:eastAsiaTheme="majorEastAsia" w:hAnsi="Arial Black" w:cstheme="majorBidi"/>
      <w:color w:val="06357A" w:themeColor="accent1"/>
      <w:kern w:val="0"/>
      <w:sz w:val="18"/>
      <w:szCs w:val="24"/>
      <w14:ligatures w14:val="none"/>
    </w:rPr>
  </w:style>
  <w:style w:type="character" w:customStyle="1" w:styleId="Heading4Char">
    <w:name w:val="Heading 4 Char"/>
    <w:basedOn w:val="DefaultParagraphFont"/>
    <w:link w:val="Heading4"/>
    <w:uiPriority w:val="4"/>
    <w:semiHidden/>
    <w:rsid w:val="004D54F4"/>
    <w:rPr>
      <w:rFonts w:asciiTheme="majorHAnsi" w:eastAsiaTheme="majorEastAsia" w:hAnsiTheme="majorHAnsi" w:cstheme="majorBidi"/>
      <w:i/>
      <w:iCs/>
      <w:color w:val="06357A" w:themeColor="accent1"/>
      <w:kern w:val="0"/>
      <w14:ligatures w14:val="none"/>
    </w:rPr>
  </w:style>
  <w:style w:type="character" w:customStyle="1" w:styleId="Heading5Char">
    <w:name w:val="Heading 5 Char"/>
    <w:basedOn w:val="DefaultParagraphFont"/>
    <w:link w:val="Heading5"/>
    <w:uiPriority w:val="4"/>
    <w:semiHidden/>
    <w:rsid w:val="004D54F4"/>
    <w:rPr>
      <w:rFonts w:asciiTheme="majorHAnsi" w:eastAsiaTheme="majorEastAsia" w:hAnsiTheme="majorHAnsi" w:cstheme="majorBidi"/>
      <w:color w:val="06357A" w:themeColor="accent1"/>
      <w:kern w:val="0"/>
      <w14:ligatures w14:val="none"/>
    </w:rPr>
  </w:style>
  <w:style w:type="character" w:customStyle="1" w:styleId="Heading6Char">
    <w:name w:val="Heading 6 Char"/>
    <w:basedOn w:val="DefaultParagraphFont"/>
    <w:link w:val="Heading6"/>
    <w:uiPriority w:val="9"/>
    <w:semiHidden/>
    <w:rsid w:val="00DB31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31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31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3175"/>
    <w:rPr>
      <w:rFonts w:eastAsiaTheme="majorEastAsia" w:cstheme="majorBidi"/>
      <w:color w:val="272727" w:themeColor="text1" w:themeTint="D8"/>
    </w:rPr>
  </w:style>
  <w:style w:type="paragraph" w:styleId="Title">
    <w:name w:val="Title"/>
    <w:aliases w:val="Title (White)"/>
    <w:basedOn w:val="BaseHeading"/>
    <w:next w:val="Subtitle"/>
    <w:link w:val="TitleChar"/>
    <w:uiPriority w:val="33"/>
    <w:rsid w:val="004D54F4"/>
    <w:pPr>
      <w:spacing w:line="240" w:lineRule="auto"/>
      <w:contextualSpacing/>
    </w:pPr>
    <w:rPr>
      <w:rFonts w:eastAsiaTheme="majorEastAsia" w:cstheme="majorBidi"/>
      <w:b/>
      <w:color w:val="FFFFFF" w:themeColor="background1"/>
      <w:sz w:val="56"/>
      <w:szCs w:val="56"/>
    </w:rPr>
  </w:style>
  <w:style w:type="character" w:customStyle="1" w:styleId="TitleChar">
    <w:name w:val="Title Char"/>
    <w:aliases w:val="Title (White) Char"/>
    <w:basedOn w:val="DefaultParagraphFont"/>
    <w:link w:val="Title"/>
    <w:uiPriority w:val="33"/>
    <w:rsid w:val="004D54F4"/>
    <w:rPr>
      <w:rFonts w:asciiTheme="majorHAnsi" w:eastAsiaTheme="majorEastAsia" w:hAnsiTheme="majorHAnsi" w:cstheme="majorBidi"/>
      <w:b/>
      <w:color w:val="FFFFFF" w:themeColor="background1"/>
      <w:kern w:val="0"/>
      <w:sz w:val="56"/>
      <w:szCs w:val="56"/>
      <w14:ligatures w14:val="none"/>
    </w:rPr>
  </w:style>
  <w:style w:type="paragraph" w:styleId="Subtitle">
    <w:name w:val="Subtitle"/>
    <w:aliases w:val="Subtitle (White)"/>
    <w:basedOn w:val="BaseHeading"/>
    <w:next w:val="BodyText"/>
    <w:link w:val="SubtitleChar"/>
    <w:uiPriority w:val="34"/>
    <w:rsid w:val="004D54F4"/>
    <w:pPr>
      <w:numPr>
        <w:ilvl w:val="1"/>
      </w:numPr>
      <w:spacing w:after="160"/>
    </w:pPr>
    <w:rPr>
      <w:rFonts w:eastAsiaTheme="minorEastAsia"/>
      <w:color w:val="FFFFFF" w:themeColor="background1"/>
      <w:sz w:val="44"/>
    </w:rPr>
  </w:style>
  <w:style w:type="character" w:customStyle="1" w:styleId="SubtitleChar">
    <w:name w:val="Subtitle Char"/>
    <w:aliases w:val="Subtitle (White) Char"/>
    <w:basedOn w:val="DefaultParagraphFont"/>
    <w:link w:val="Subtitle"/>
    <w:uiPriority w:val="34"/>
    <w:rsid w:val="004D54F4"/>
    <w:rPr>
      <w:rFonts w:asciiTheme="majorHAnsi" w:eastAsiaTheme="minorEastAsia" w:hAnsiTheme="majorHAnsi"/>
      <w:color w:val="FFFFFF" w:themeColor="background1"/>
      <w:kern w:val="0"/>
      <w:sz w:val="44"/>
      <w14:ligatures w14:val="none"/>
    </w:rPr>
  </w:style>
  <w:style w:type="paragraph" w:styleId="Quote">
    <w:name w:val="Quote"/>
    <w:aliases w:val="Quote (White)"/>
    <w:basedOn w:val="BodyText"/>
    <w:next w:val="QuoteSourceWhite"/>
    <w:link w:val="QuoteChar"/>
    <w:uiPriority w:val="29"/>
    <w:qFormat/>
    <w:rsid w:val="004D54F4"/>
    <w:pPr>
      <w:spacing w:after="180"/>
    </w:pPr>
    <w:rPr>
      <w:color w:val="FFFFFF" w:themeColor="background1"/>
      <w:sz w:val="36"/>
      <w:szCs w:val="28"/>
    </w:rPr>
  </w:style>
  <w:style w:type="character" w:customStyle="1" w:styleId="QuoteChar">
    <w:name w:val="Quote Char"/>
    <w:aliases w:val="Quote (White) Char"/>
    <w:basedOn w:val="DefaultParagraphFont"/>
    <w:link w:val="Quote"/>
    <w:uiPriority w:val="29"/>
    <w:rsid w:val="004D54F4"/>
    <w:rPr>
      <w:color w:val="FFFFFF" w:themeColor="background1"/>
      <w:kern w:val="0"/>
      <w:sz w:val="36"/>
      <w:szCs w:val="28"/>
      <w14:ligatures w14:val="none"/>
    </w:rPr>
  </w:style>
  <w:style w:type="paragraph" w:styleId="ListParagraph">
    <w:name w:val="List Paragraph"/>
    <w:basedOn w:val="Normal"/>
    <w:uiPriority w:val="34"/>
    <w:qFormat/>
    <w:rsid w:val="004D54F4"/>
    <w:pPr>
      <w:ind w:left="720"/>
      <w:contextualSpacing/>
    </w:pPr>
  </w:style>
  <w:style w:type="character" w:styleId="IntenseEmphasis">
    <w:name w:val="Intense Emphasis"/>
    <w:basedOn w:val="DefaultParagraphFont"/>
    <w:uiPriority w:val="21"/>
    <w:qFormat/>
    <w:rsid w:val="004D54F4"/>
    <w:rPr>
      <w:i/>
      <w:iCs/>
      <w:color w:val="06357A" w:themeColor="accent1"/>
    </w:rPr>
  </w:style>
  <w:style w:type="paragraph" w:styleId="IntenseQuote">
    <w:name w:val="Intense Quote"/>
    <w:basedOn w:val="Normal"/>
    <w:next w:val="Normal"/>
    <w:link w:val="IntenseQuoteChar"/>
    <w:uiPriority w:val="15"/>
    <w:qFormat/>
    <w:rsid w:val="004D54F4"/>
    <w:pPr>
      <w:pBdr>
        <w:top w:val="single" w:sz="4" w:space="10" w:color="06357A" w:themeColor="accent1"/>
        <w:bottom w:val="single" w:sz="4" w:space="10" w:color="06357A" w:themeColor="accent1"/>
      </w:pBdr>
      <w:spacing w:before="360" w:after="360"/>
      <w:ind w:left="864" w:right="864"/>
      <w:jc w:val="center"/>
    </w:pPr>
    <w:rPr>
      <w:i/>
      <w:iCs/>
      <w:color w:val="06357A" w:themeColor="accent1"/>
    </w:rPr>
  </w:style>
  <w:style w:type="character" w:customStyle="1" w:styleId="IntenseQuoteChar">
    <w:name w:val="Intense Quote Char"/>
    <w:basedOn w:val="DefaultParagraphFont"/>
    <w:link w:val="IntenseQuote"/>
    <w:uiPriority w:val="15"/>
    <w:rsid w:val="004D54F4"/>
    <w:rPr>
      <w:i/>
      <w:iCs/>
      <w:color w:val="06357A" w:themeColor="accent1"/>
      <w:kern w:val="0"/>
      <w14:ligatures w14:val="none"/>
    </w:rPr>
  </w:style>
  <w:style w:type="character" w:styleId="IntenseReference">
    <w:name w:val="Intense Reference"/>
    <w:basedOn w:val="DefaultParagraphFont"/>
    <w:uiPriority w:val="15"/>
    <w:qFormat/>
    <w:rsid w:val="004D54F4"/>
    <w:rPr>
      <w:b/>
      <w:bCs/>
      <w:smallCaps/>
      <w:color w:val="06357A" w:themeColor="accent1"/>
      <w:spacing w:val="5"/>
    </w:rPr>
  </w:style>
  <w:style w:type="paragraph" w:styleId="Header">
    <w:name w:val="header"/>
    <w:basedOn w:val="BaseText"/>
    <w:link w:val="HeaderChar"/>
    <w:uiPriority w:val="96"/>
    <w:rsid w:val="004D54F4"/>
    <w:pPr>
      <w:tabs>
        <w:tab w:val="center" w:pos="4513"/>
        <w:tab w:val="right" w:pos="9026"/>
      </w:tabs>
      <w:spacing w:line="240" w:lineRule="auto"/>
    </w:pPr>
  </w:style>
  <w:style w:type="character" w:customStyle="1" w:styleId="HeaderChar">
    <w:name w:val="Header Char"/>
    <w:basedOn w:val="DefaultParagraphFont"/>
    <w:link w:val="Header"/>
    <w:uiPriority w:val="96"/>
    <w:rsid w:val="004D54F4"/>
    <w:rPr>
      <w:kern w:val="0"/>
      <w:sz w:val="18"/>
      <w14:ligatures w14:val="none"/>
    </w:rPr>
  </w:style>
  <w:style w:type="paragraph" w:styleId="Footer">
    <w:name w:val="footer"/>
    <w:basedOn w:val="BaseText"/>
    <w:link w:val="FooterChar"/>
    <w:uiPriority w:val="98"/>
    <w:rsid w:val="004D54F4"/>
    <w:pPr>
      <w:tabs>
        <w:tab w:val="center" w:pos="4513"/>
        <w:tab w:val="right" w:pos="9026"/>
      </w:tabs>
      <w:spacing w:line="240" w:lineRule="auto"/>
    </w:pPr>
  </w:style>
  <w:style w:type="character" w:customStyle="1" w:styleId="FooterChar">
    <w:name w:val="Footer Char"/>
    <w:basedOn w:val="DefaultParagraphFont"/>
    <w:link w:val="Footer"/>
    <w:uiPriority w:val="98"/>
    <w:rsid w:val="004D54F4"/>
    <w:rPr>
      <w:kern w:val="0"/>
      <w:sz w:val="18"/>
      <w14:ligatures w14:val="none"/>
    </w:rPr>
  </w:style>
  <w:style w:type="paragraph" w:customStyle="1" w:styleId="BaseStyle">
    <w:name w:val="___Base Style"/>
    <w:uiPriority w:val="99"/>
    <w:semiHidden/>
    <w:rsid w:val="004D54F4"/>
    <w:pPr>
      <w:spacing w:after="0" w:line="252" w:lineRule="auto"/>
    </w:pPr>
    <w:rPr>
      <w:kern w:val="0"/>
      <w14:ligatures w14:val="none"/>
    </w:rPr>
  </w:style>
  <w:style w:type="paragraph" w:customStyle="1" w:styleId="BaseTable">
    <w:name w:val="___Base Table"/>
    <w:uiPriority w:val="99"/>
    <w:semiHidden/>
    <w:rsid w:val="004D54F4"/>
    <w:pPr>
      <w:spacing w:line="240" w:lineRule="atLeast"/>
    </w:pPr>
    <w:rPr>
      <w:kern w:val="0"/>
      <w14:ligatures w14:val="none"/>
    </w:rPr>
  </w:style>
  <w:style w:type="paragraph" w:customStyle="1" w:styleId="1ptspacer">
    <w:name w:val="__1pt spacer"/>
    <w:basedOn w:val="BaseStyle"/>
    <w:next w:val="BodyText"/>
    <w:uiPriority w:val="99"/>
    <w:rsid w:val="004D54F4"/>
    <w:pPr>
      <w:spacing w:line="20" w:lineRule="exact"/>
    </w:pPr>
    <w:rPr>
      <w:sz w:val="2"/>
    </w:rPr>
  </w:style>
  <w:style w:type="paragraph" w:styleId="BodyText">
    <w:name w:val="Body Text"/>
    <w:basedOn w:val="BaseText"/>
    <w:link w:val="BodyTextChar"/>
    <w:uiPriority w:val="6"/>
    <w:unhideWhenUsed/>
    <w:qFormat/>
    <w:rsid w:val="004D54F4"/>
    <w:pPr>
      <w:spacing w:after="240" w:line="288" w:lineRule="auto"/>
    </w:pPr>
    <w:rPr>
      <w:color w:val="4D4D4F" w:themeColor="text2"/>
    </w:rPr>
  </w:style>
  <w:style w:type="character" w:customStyle="1" w:styleId="BodyTextChar">
    <w:name w:val="Body Text Char"/>
    <w:basedOn w:val="DefaultParagraphFont"/>
    <w:link w:val="BodyText"/>
    <w:uiPriority w:val="6"/>
    <w:rsid w:val="004D54F4"/>
    <w:rPr>
      <w:color w:val="4D4D4F" w:themeColor="text2"/>
      <w:kern w:val="0"/>
      <w:sz w:val="18"/>
      <w14:ligatures w14:val="none"/>
    </w:rPr>
  </w:style>
  <w:style w:type="paragraph" w:customStyle="1" w:styleId="AnchorTop">
    <w:name w:val="__Anchor Top"/>
    <w:basedOn w:val="1ptspacer"/>
    <w:next w:val="BodyText"/>
    <w:uiPriority w:val="99"/>
    <w:semiHidden/>
    <w:rsid w:val="004D54F4"/>
  </w:style>
  <w:style w:type="paragraph" w:customStyle="1" w:styleId="AnchorBottom">
    <w:name w:val="__Anchor Bottom"/>
    <w:basedOn w:val="AnchorTop"/>
    <w:next w:val="BodyText"/>
    <w:uiPriority w:val="99"/>
    <w:semiHidden/>
    <w:rsid w:val="004D54F4"/>
  </w:style>
  <w:style w:type="numbering" w:customStyle="1" w:styleId="AnnexHeading">
    <w:name w:val="__Annex Heading"/>
    <w:uiPriority w:val="99"/>
    <w:rsid w:val="004D54F4"/>
    <w:pPr>
      <w:numPr>
        <w:numId w:val="1"/>
      </w:numPr>
    </w:pPr>
  </w:style>
  <w:style w:type="numbering" w:customStyle="1" w:styleId="AnnexHeadings">
    <w:name w:val="__Annex Headings"/>
    <w:uiPriority w:val="99"/>
    <w:rsid w:val="004D54F4"/>
    <w:pPr>
      <w:numPr>
        <w:numId w:val="2"/>
      </w:numPr>
    </w:pPr>
  </w:style>
  <w:style w:type="paragraph" w:customStyle="1" w:styleId="BaseHeading">
    <w:name w:val="__Base Heading"/>
    <w:basedOn w:val="BaseStyle"/>
    <w:next w:val="BodyText"/>
    <w:uiPriority w:val="99"/>
    <w:semiHidden/>
    <w:rsid w:val="004D54F4"/>
    <w:pPr>
      <w:keepNext/>
      <w:keepLines/>
    </w:pPr>
    <w:rPr>
      <w:rFonts w:asciiTheme="majorHAnsi" w:hAnsiTheme="majorHAnsi"/>
      <w:color w:val="06357A" w:themeColor="accent1"/>
    </w:rPr>
  </w:style>
  <w:style w:type="paragraph" w:customStyle="1" w:styleId="BaseText">
    <w:name w:val="__Base Text"/>
    <w:basedOn w:val="BaseStyle"/>
    <w:uiPriority w:val="99"/>
    <w:semiHidden/>
    <w:rsid w:val="004D54F4"/>
    <w:rPr>
      <w:sz w:val="18"/>
    </w:rPr>
  </w:style>
  <w:style w:type="paragraph" w:customStyle="1" w:styleId="BaseSECTION">
    <w:name w:val="__Base SECTION"/>
    <w:basedOn w:val="BaseText"/>
    <w:next w:val="BodyText"/>
    <w:uiPriority w:val="99"/>
    <w:semiHidden/>
    <w:rsid w:val="004D54F4"/>
    <w:pPr>
      <w:spacing w:line="160" w:lineRule="exact"/>
    </w:pPr>
    <w:rPr>
      <w:color w:val="0000FF"/>
      <w:sz w:val="16"/>
      <w:szCs w:val="20"/>
    </w:rPr>
  </w:style>
  <w:style w:type="paragraph" w:customStyle="1" w:styleId="TableText">
    <w:name w:val="Table Text"/>
    <w:basedOn w:val="BaseTable"/>
    <w:uiPriority w:val="8"/>
    <w:qFormat/>
    <w:rsid w:val="004D54F4"/>
    <w:pPr>
      <w:spacing w:before="60" w:after="60" w:line="216" w:lineRule="auto"/>
    </w:pPr>
    <w:rPr>
      <w:sz w:val="18"/>
    </w:rPr>
  </w:style>
  <w:style w:type="paragraph" w:customStyle="1" w:styleId="LinkedPH">
    <w:name w:val="__Linked PH"/>
    <w:basedOn w:val="TableText"/>
    <w:uiPriority w:val="99"/>
    <w:semiHidden/>
    <w:rsid w:val="004D54F4"/>
    <w:pPr>
      <w:spacing w:before="120" w:after="0" w:line="20" w:lineRule="exact"/>
      <w:ind w:right="113"/>
    </w:pPr>
    <w:rPr>
      <w:sz w:val="2"/>
      <w:szCs w:val="20"/>
    </w:rPr>
  </w:style>
  <w:style w:type="numbering" w:customStyle="1" w:styleId="ListBullets">
    <w:name w:val="__List Bullets"/>
    <w:rsid w:val="004D54F4"/>
    <w:pPr>
      <w:numPr>
        <w:numId w:val="3"/>
      </w:numPr>
    </w:pPr>
  </w:style>
  <w:style w:type="numbering" w:customStyle="1" w:styleId="ListHeading1LightBlue">
    <w:name w:val="__List Heading 1 (Light Blue)"/>
    <w:uiPriority w:val="99"/>
    <w:rsid w:val="004D54F4"/>
    <w:pPr>
      <w:numPr>
        <w:numId w:val="4"/>
      </w:numPr>
    </w:pPr>
  </w:style>
  <w:style w:type="numbering" w:customStyle="1" w:styleId="ListHeadings">
    <w:name w:val="__List Headings"/>
    <w:rsid w:val="004D54F4"/>
    <w:pPr>
      <w:numPr>
        <w:numId w:val="5"/>
      </w:numPr>
    </w:pPr>
  </w:style>
  <w:style w:type="numbering" w:customStyle="1" w:styleId="ListNumbers">
    <w:name w:val="__List Numbers"/>
    <w:rsid w:val="004D54F4"/>
    <w:pPr>
      <w:numPr>
        <w:numId w:val="6"/>
      </w:numPr>
    </w:pPr>
  </w:style>
  <w:style w:type="numbering" w:customStyle="1" w:styleId="NotesBullet">
    <w:name w:val="__Notes Bullet"/>
    <w:uiPriority w:val="99"/>
    <w:rsid w:val="004D54F4"/>
    <w:pPr>
      <w:numPr>
        <w:numId w:val="7"/>
      </w:numPr>
    </w:pPr>
  </w:style>
  <w:style w:type="numbering" w:customStyle="1" w:styleId="NotesNumber">
    <w:name w:val="__Notes Number"/>
    <w:uiPriority w:val="99"/>
    <w:rsid w:val="004D54F4"/>
    <w:pPr>
      <w:numPr>
        <w:numId w:val="8"/>
      </w:numPr>
    </w:pPr>
  </w:style>
  <w:style w:type="paragraph" w:customStyle="1" w:styleId="Placeholder">
    <w:name w:val="__Placeholder"/>
    <w:basedOn w:val="BaseText"/>
    <w:next w:val="BodyText"/>
    <w:uiPriority w:val="99"/>
    <w:semiHidden/>
    <w:rsid w:val="004D54F4"/>
    <w:pPr>
      <w:spacing w:line="240" w:lineRule="auto"/>
      <w:jc w:val="center"/>
    </w:pPr>
  </w:style>
  <w:style w:type="paragraph" w:customStyle="1" w:styleId="SECTION2Column">
    <w:name w:val="__SECTION 2Column"/>
    <w:basedOn w:val="BaseSECTION"/>
    <w:next w:val="BodyText"/>
    <w:uiPriority w:val="99"/>
    <w:semiHidden/>
    <w:rsid w:val="004D54F4"/>
  </w:style>
  <w:style w:type="paragraph" w:customStyle="1" w:styleId="SECTION3Column">
    <w:name w:val="__SECTION 3Column"/>
    <w:basedOn w:val="BaseSECTION"/>
    <w:next w:val="BodyText"/>
    <w:uiPriority w:val="99"/>
    <w:semiHidden/>
    <w:rsid w:val="004D54F4"/>
  </w:style>
  <w:style w:type="paragraph" w:customStyle="1" w:styleId="SECTION4Column">
    <w:name w:val="__SECTION 4Column"/>
    <w:basedOn w:val="BaseSECTION"/>
    <w:next w:val="BodyText"/>
    <w:uiPriority w:val="99"/>
    <w:semiHidden/>
    <w:rsid w:val="004D54F4"/>
  </w:style>
  <w:style w:type="paragraph" w:customStyle="1" w:styleId="SECTIONBackCover">
    <w:name w:val="__SECTION BackCover"/>
    <w:basedOn w:val="BaseSECTION"/>
    <w:next w:val="BodyText"/>
    <w:uiPriority w:val="99"/>
    <w:semiHidden/>
    <w:rsid w:val="004D54F4"/>
  </w:style>
  <w:style w:type="paragraph" w:customStyle="1" w:styleId="SECTIONCover">
    <w:name w:val="__SECTION Cover"/>
    <w:basedOn w:val="BaseSECTION"/>
    <w:next w:val="BodyText"/>
    <w:uiPriority w:val="99"/>
    <w:semiHidden/>
    <w:rsid w:val="004D54F4"/>
  </w:style>
  <w:style w:type="paragraph" w:customStyle="1" w:styleId="SECTIONDivider">
    <w:name w:val="__SECTION Divider"/>
    <w:basedOn w:val="BaseSECTION"/>
    <w:next w:val="BodyText"/>
    <w:uiPriority w:val="99"/>
    <w:semiHidden/>
    <w:rsid w:val="004D54F4"/>
  </w:style>
  <w:style w:type="paragraph" w:customStyle="1" w:styleId="SECTIONFullWidth">
    <w:name w:val="__SECTION FullWidth"/>
    <w:basedOn w:val="BaseSECTION"/>
    <w:next w:val="BodyText"/>
    <w:uiPriority w:val="99"/>
    <w:semiHidden/>
    <w:rsid w:val="004D54F4"/>
  </w:style>
  <w:style w:type="paragraph" w:customStyle="1" w:styleId="SECTIONLandscape">
    <w:name w:val="__SECTION Landscape"/>
    <w:basedOn w:val="BaseSECTION"/>
    <w:next w:val="BodyText"/>
    <w:uiPriority w:val="99"/>
    <w:semiHidden/>
    <w:rsid w:val="004D54F4"/>
  </w:style>
  <w:style w:type="paragraph" w:customStyle="1" w:styleId="SECTIONMargin">
    <w:name w:val="__SECTION Margin"/>
    <w:basedOn w:val="BaseSECTION"/>
    <w:next w:val="BodyText"/>
    <w:uiPriority w:val="99"/>
    <w:semiHidden/>
    <w:rsid w:val="004D54F4"/>
  </w:style>
  <w:style w:type="paragraph" w:customStyle="1" w:styleId="SECTIONToC">
    <w:name w:val="__SECTION ToC"/>
    <w:basedOn w:val="BaseSECTION"/>
    <w:next w:val="BodyText"/>
    <w:uiPriority w:val="99"/>
    <w:semiHidden/>
    <w:rsid w:val="004D54F4"/>
  </w:style>
  <w:style w:type="paragraph" w:customStyle="1" w:styleId="TableSpaceAfter">
    <w:name w:val="__TableSpaceAfter"/>
    <w:basedOn w:val="BaseStyle"/>
    <w:next w:val="BodyText"/>
    <w:uiPriority w:val="99"/>
    <w:semiHidden/>
    <w:rsid w:val="004D54F4"/>
    <w:pPr>
      <w:spacing w:line="20" w:lineRule="exact"/>
    </w:pPr>
    <w:rPr>
      <w:sz w:val="2"/>
    </w:rPr>
  </w:style>
  <w:style w:type="paragraph" w:customStyle="1" w:styleId="TableSpaceBefore">
    <w:name w:val="__TableSpaceBefore"/>
    <w:basedOn w:val="BaseStyle"/>
    <w:next w:val="BodyText"/>
    <w:uiPriority w:val="99"/>
    <w:semiHidden/>
    <w:rsid w:val="004D54F4"/>
    <w:pPr>
      <w:spacing w:line="20" w:lineRule="exact"/>
    </w:pPr>
    <w:rPr>
      <w:sz w:val="2"/>
    </w:rPr>
  </w:style>
  <w:style w:type="character" w:customStyle="1" w:styleId="Accent1">
    <w:name w:val="Accent 1"/>
    <w:basedOn w:val="DefaultParagraphFont"/>
    <w:uiPriority w:val="36"/>
    <w:semiHidden/>
    <w:qFormat/>
    <w:rsid w:val="004D54F4"/>
    <w:rPr>
      <w:color w:val="06357A" w:themeColor="accent1"/>
    </w:rPr>
  </w:style>
  <w:style w:type="character" w:customStyle="1" w:styleId="Accent2">
    <w:name w:val="Accent 2"/>
    <w:basedOn w:val="DefaultParagraphFont"/>
    <w:uiPriority w:val="36"/>
    <w:semiHidden/>
    <w:qFormat/>
    <w:rsid w:val="004D54F4"/>
    <w:rPr>
      <w:color w:val="00A2E0" w:themeColor="accent2"/>
    </w:rPr>
  </w:style>
  <w:style w:type="character" w:customStyle="1" w:styleId="Accent3">
    <w:name w:val="Accent 3"/>
    <w:basedOn w:val="DefaultParagraphFont"/>
    <w:uiPriority w:val="36"/>
    <w:semiHidden/>
    <w:qFormat/>
    <w:rsid w:val="004D54F4"/>
    <w:rPr>
      <w:color w:val="98C6EC" w:themeColor="accent3"/>
    </w:rPr>
  </w:style>
  <w:style w:type="character" w:customStyle="1" w:styleId="Accent4">
    <w:name w:val="Accent 4"/>
    <w:basedOn w:val="DefaultParagraphFont"/>
    <w:uiPriority w:val="36"/>
    <w:semiHidden/>
    <w:qFormat/>
    <w:rsid w:val="004D54F4"/>
    <w:rPr>
      <w:color w:val="BEDCF4" w:themeColor="accent4"/>
    </w:rPr>
  </w:style>
  <w:style w:type="character" w:customStyle="1" w:styleId="Accent5">
    <w:name w:val="Accent 5"/>
    <w:basedOn w:val="DefaultParagraphFont"/>
    <w:uiPriority w:val="36"/>
    <w:semiHidden/>
    <w:qFormat/>
    <w:rsid w:val="004D54F4"/>
    <w:rPr>
      <w:color w:val="E2F0F6" w:themeColor="accent5"/>
    </w:rPr>
  </w:style>
  <w:style w:type="character" w:customStyle="1" w:styleId="Accent6">
    <w:name w:val="Accent 6"/>
    <w:basedOn w:val="DefaultParagraphFont"/>
    <w:uiPriority w:val="36"/>
    <w:semiHidden/>
    <w:qFormat/>
    <w:rsid w:val="004D54F4"/>
    <w:rPr>
      <w:color w:val="FFFFFF" w:themeColor="accent6"/>
    </w:rPr>
  </w:style>
  <w:style w:type="paragraph" w:customStyle="1" w:styleId="AnnexHeading2">
    <w:name w:val="Annex Heading 2"/>
    <w:basedOn w:val="Heading2"/>
    <w:next w:val="BodyText"/>
    <w:uiPriority w:val="38"/>
    <w:qFormat/>
    <w:rsid w:val="004D54F4"/>
    <w:pPr>
      <w:numPr>
        <w:ilvl w:val="1"/>
        <w:numId w:val="10"/>
      </w:numPr>
      <w:spacing w:before="60"/>
    </w:pPr>
  </w:style>
  <w:style w:type="paragraph" w:customStyle="1" w:styleId="AnnexHeading3">
    <w:name w:val="Annex Heading 3"/>
    <w:basedOn w:val="Heading3"/>
    <w:next w:val="BodyText"/>
    <w:uiPriority w:val="38"/>
    <w:qFormat/>
    <w:rsid w:val="004D54F4"/>
    <w:pPr>
      <w:numPr>
        <w:ilvl w:val="2"/>
        <w:numId w:val="10"/>
      </w:numPr>
    </w:pPr>
    <w:rPr>
      <w:b/>
    </w:rPr>
  </w:style>
  <w:style w:type="paragraph" w:customStyle="1" w:styleId="BackPageAddress">
    <w:name w:val="Back Page Address"/>
    <w:basedOn w:val="BaseText"/>
    <w:uiPriority w:val="79"/>
    <w:semiHidden/>
    <w:qFormat/>
    <w:rsid w:val="004D54F4"/>
    <w:rPr>
      <w:color w:val="FFFFFF" w:themeColor="background1"/>
      <w:sz w:val="24"/>
      <w:szCs w:val="20"/>
    </w:rPr>
  </w:style>
  <w:style w:type="paragraph" w:customStyle="1" w:styleId="BackPageHeading1">
    <w:name w:val="Back Page Heading 1"/>
    <w:basedOn w:val="BaseHeading"/>
    <w:next w:val="BackPageText"/>
    <w:uiPriority w:val="79"/>
    <w:semiHidden/>
    <w:qFormat/>
    <w:rsid w:val="004D54F4"/>
    <w:rPr>
      <w:b/>
      <w:bCs/>
      <w:sz w:val="24"/>
      <w:szCs w:val="24"/>
    </w:rPr>
  </w:style>
  <w:style w:type="paragraph" w:customStyle="1" w:styleId="BackPageHeading2">
    <w:name w:val="Back Page Heading 2"/>
    <w:basedOn w:val="BaseHeading"/>
    <w:next w:val="BackPageText"/>
    <w:uiPriority w:val="79"/>
    <w:semiHidden/>
    <w:qFormat/>
    <w:rsid w:val="004D54F4"/>
    <w:rPr>
      <w:b/>
      <w:bCs/>
    </w:rPr>
  </w:style>
  <w:style w:type="paragraph" w:customStyle="1" w:styleId="BackPageText">
    <w:name w:val="Back Page Text"/>
    <w:basedOn w:val="BaseText"/>
    <w:uiPriority w:val="79"/>
    <w:qFormat/>
    <w:rsid w:val="004D54F4"/>
    <w:pPr>
      <w:spacing w:before="180" w:line="360" w:lineRule="auto"/>
    </w:pPr>
    <w:rPr>
      <w:color w:val="FFFFFF" w:themeColor="background1"/>
      <w:sz w:val="16"/>
      <w:szCs w:val="20"/>
    </w:rPr>
  </w:style>
  <w:style w:type="character" w:styleId="BookTitle">
    <w:name w:val="Book Title"/>
    <w:basedOn w:val="DefaultParagraphFont"/>
    <w:uiPriority w:val="15"/>
    <w:qFormat/>
    <w:rsid w:val="004D54F4"/>
    <w:rPr>
      <w:b/>
      <w:bCs/>
      <w:i/>
      <w:iCs/>
      <w:spacing w:val="5"/>
    </w:rPr>
  </w:style>
  <w:style w:type="paragraph" w:customStyle="1" w:styleId="CalloutCaption">
    <w:name w:val="Callout Caption"/>
    <w:basedOn w:val="BaseText"/>
    <w:uiPriority w:val="12"/>
    <w:qFormat/>
    <w:rsid w:val="004D54F4"/>
    <w:pPr>
      <w:spacing w:line="240" w:lineRule="auto"/>
      <w:jc w:val="center"/>
    </w:pPr>
    <w:rPr>
      <w:sz w:val="16"/>
      <w:szCs w:val="16"/>
    </w:rPr>
  </w:style>
  <w:style w:type="paragraph" w:customStyle="1" w:styleId="CalloutHeading">
    <w:name w:val="Callout Heading"/>
    <w:basedOn w:val="BaseHeading"/>
    <w:next w:val="CalloutText"/>
    <w:uiPriority w:val="12"/>
    <w:qFormat/>
    <w:rsid w:val="004D54F4"/>
    <w:pPr>
      <w:spacing w:before="240" w:after="120" w:line="264" w:lineRule="auto"/>
      <w:ind w:left="170" w:right="170"/>
      <w:jc w:val="center"/>
    </w:pPr>
    <w:rPr>
      <w:color w:val="00A2E0" w:themeColor="accent2"/>
      <w:sz w:val="28"/>
    </w:rPr>
  </w:style>
  <w:style w:type="paragraph" w:customStyle="1" w:styleId="CalloutText">
    <w:name w:val="Callout Text"/>
    <w:basedOn w:val="CalloutHeading"/>
    <w:uiPriority w:val="12"/>
    <w:qFormat/>
    <w:rsid w:val="004D54F4"/>
    <w:pPr>
      <w:spacing w:before="0" w:after="0" w:line="288" w:lineRule="auto"/>
    </w:pPr>
    <w:rPr>
      <w:color w:val="4D4D4F" w:themeColor="text2"/>
      <w:sz w:val="22"/>
    </w:rPr>
  </w:style>
  <w:style w:type="paragraph" w:customStyle="1" w:styleId="ContactDetails">
    <w:name w:val="Contact Details"/>
    <w:basedOn w:val="BodyText"/>
    <w:next w:val="TableText"/>
    <w:uiPriority w:val="20"/>
    <w:qFormat/>
    <w:rsid w:val="004D54F4"/>
    <w:pPr>
      <w:spacing w:before="60" w:after="60" w:line="216" w:lineRule="auto"/>
    </w:pPr>
  </w:style>
  <w:style w:type="paragraph" w:customStyle="1" w:styleId="ContactName">
    <w:name w:val="Contact Name"/>
    <w:basedOn w:val="BodyText"/>
    <w:next w:val="ContactRole"/>
    <w:uiPriority w:val="19"/>
    <w:qFormat/>
    <w:rsid w:val="004D54F4"/>
    <w:pPr>
      <w:spacing w:after="60" w:line="216" w:lineRule="auto"/>
    </w:pPr>
    <w:rPr>
      <w:b/>
      <w:bCs/>
    </w:rPr>
  </w:style>
  <w:style w:type="paragraph" w:customStyle="1" w:styleId="ContactRole">
    <w:name w:val="Contact Role"/>
    <w:basedOn w:val="BodyText"/>
    <w:next w:val="ContactDetails"/>
    <w:uiPriority w:val="19"/>
    <w:qFormat/>
    <w:rsid w:val="004D54F4"/>
    <w:pPr>
      <w:spacing w:after="120" w:line="216" w:lineRule="auto"/>
    </w:pPr>
  </w:style>
  <w:style w:type="paragraph" w:customStyle="1" w:styleId="CVandContactHeading">
    <w:name w:val="CV and Contact Heading"/>
    <w:basedOn w:val="BaseHeading"/>
    <w:next w:val="ContactName"/>
    <w:uiPriority w:val="18"/>
    <w:qFormat/>
    <w:rsid w:val="004D54F4"/>
    <w:pPr>
      <w:spacing w:after="60"/>
    </w:pPr>
    <w:rPr>
      <w:rFonts w:asciiTheme="minorHAnsi" w:hAnsiTheme="minorHAnsi"/>
      <w:b/>
      <w:bCs/>
      <w:color w:val="06357A" w:themeColor="background2"/>
      <w:sz w:val="18"/>
      <w:szCs w:val="24"/>
    </w:rPr>
  </w:style>
  <w:style w:type="paragraph" w:customStyle="1" w:styleId="CVName">
    <w:name w:val="CV Name"/>
    <w:basedOn w:val="CVandContactHeading"/>
    <w:uiPriority w:val="17"/>
    <w:qFormat/>
    <w:rsid w:val="004D54F4"/>
    <w:pPr>
      <w:spacing w:before="60"/>
    </w:pPr>
    <w:rPr>
      <w:sz w:val="28"/>
    </w:rPr>
  </w:style>
  <w:style w:type="table" w:customStyle="1" w:styleId="Plain">
    <w:name w:val="Plain"/>
    <w:basedOn w:val="TableNormal"/>
    <w:rsid w:val="004D54F4"/>
    <w:pPr>
      <w:spacing w:after="0" w:line="240" w:lineRule="auto"/>
    </w:pPr>
    <w:rPr>
      <w:kern w:val="0"/>
      <w14:ligatures w14:val="none"/>
    </w:rPr>
    <w:tblPr/>
    <w:tcPr>
      <w:shd w:val="clear" w:color="auto" w:fill="auto"/>
      <w:tcMar>
        <w:left w:w="0" w:type="dxa"/>
        <w:right w:w="0" w:type="dxa"/>
      </w:tcMar>
    </w:tcPr>
  </w:style>
  <w:style w:type="table" w:customStyle="1" w:styleId="CVTable">
    <w:name w:val="CV Table"/>
    <w:basedOn w:val="Plain"/>
    <w:uiPriority w:val="99"/>
    <w:rsid w:val="004D54F4"/>
    <w:pPr>
      <w:spacing w:before="60" w:after="60" w:line="216" w:lineRule="auto"/>
    </w:pPr>
    <w:rPr>
      <w:color w:val="4D4D4F" w:themeColor="text2"/>
    </w:rPr>
    <w:tblPr/>
    <w:tcPr>
      <w:shd w:val="clear" w:color="auto" w:fill="EAF4FB"/>
      <w:tcMar>
        <w:left w:w="0" w:type="nil"/>
        <w:right w:w="0" w:type="nil"/>
      </w:tcMar>
    </w:tcPr>
    <w:tblStylePr w:type="firstRow">
      <w:pPr>
        <w:wordWrap/>
        <w:spacing w:beforeLines="60" w:before="60" w:beforeAutospacing="0" w:afterLines="60" w:after="60" w:afterAutospacing="0" w:line="216" w:lineRule="auto"/>
        <w:contextualSpacing w:val="0"/>
        <w:jc w:val="left"/>
      </w:pPr>
      <w:rPr>
        <w:rFonts w:asciiTheme="majorHAnsi" w:hAnsiTheme="majorHAnsi"/>
        <w:b w:val="0"/>
        <w:i w:val="0"/>
        <w:color w:val="06357A" w:themeColor="background2"/>
        <w:sz w:val="18"/>
      </w:rPr>
    </w:tblStylePr>
  </w:style>
  <w:style w:type="paragraph" w:customStyle="1" w:styleId="CVTitleandPracticegroup">
    <w:name w:val="CV Title and Practice group"/>
    <w:basedOn w:val="CVName"/>
    <w:uiPriority w:val="17"/>
    <w:qFormat/>
    <w:rsid w:val="004D54F4"/>
    <w:rPr>
      <w:b w:val="0"/>
      <w:color w:val="00A2E0" w:themeColor="accent2"/>
      <w:sz w:val="24"/>
    </w:rPr>
  </w:style>
  <w:style w:type="table" w:customStyle="1" w:styleId="LLTextTable">
    <w:name w:val="L&amp;L Text Table"/>
    <w:basedOn w:val="Plain"/>
    <w:uiPriority w:val="99"/>
    <w:rsid w:val="004D54F4"/>
    <w:rPr>
      <w:color w:val="4D4D4F"/>
    </w:rPr>
    <w:tblPr>
      <w:tblStyleRowBandSize w:val="1"/>
      <w:tblStyleColBandSize w:val="1"/>
      <w:tblCellMar>
        <w:left w:w="57" w:type="dxa"/>
        <w:right w:w="57" w:type="dxa"/>
      </w:tblCellMar>
    </w:tblPr>
    <w:tcPr>
      <w:tcMar>
        <w:top w:w="57" w:type="dxa"/>
        <w:left w:w="0" w:type="nil"/>
        <w:bottom w:w="57" w:type="dxa"/>
        <w:right w:w="0" w:type="nil"/>
      </w:tcMar>
    </w:tcPr>
    <w:tblStylePr w:type="firstRow">
      <w:pPr>
        <w:wordWrap/>
        <w:spacing w:beforeLines="0" w:before="60" w:beforeAutospacing="0" w:afterLines="0" w:after="60" w:afterAutospacing="0" w:line="216" w:lineRule="auto"/>
      </w:pPr>
      <w:rPr>
        <w:rFonts w:asciiTheme="majorHAnsi" w:hAnsiTheme="majorHAnsi"/>
        <w:b/>
        <w:color w:val="FFFFFF" w:themeColor="background1"/>
        <w:sz w:val="18"/>
      </w:rPr>
      <w:tblPr/>
      <w:tcPr>
        <w:shd w:val="clear" w:color="auto" w:fill="06357A" w:themeFill="accent1"/>
      </w:tcPr>
    </w:tblStylePr>
    <w:tblStylePr w:type="lastRow">
      <w:rPr>
        <w:rFonts w:asciiTheme="minorHAnsi" w:hAnsiTheme="minorHAnsi"/>
        <w:b/>
        <w:sz w:val="18"/>
      </w:rPr>
      <w:tblPr/>
      <w:tcPr>
        <w:tcBorders>
          <w:top w:val="single" w:sz="4" w:space="0" w:color="auto"/>
          <w:left w:val="nil"/>
          <w:bottom w:val="single" w:sz="4" w:space="0" w:color="auto"/>
          <w:right w:val="nil"/>
          <w:insideH w:val="nil"/>
          <w:insideV w:val="nil"/>
          <w:tl2br w:val="nil"/>
          <w:tr2bl w:val="nil"/>
        </w:tcBorders>
      </w:tcPr>
    </w:tblStylePr>
    <w:tblStylePr w:type="firstCol">
      <w:rPr>
        <w:rFonts w:asciiTheme="minorHAnsi" w:hAnsiTheme="minorHAnsi"/>
        <w:b w:val="0"/>
        <w:sz w:val="18"/>
      </w:rPr>
    </w:tblStylePr>
    <w:tblStylePr w:type="lastCol">
      <w:rPr>
        <w:b/>
        <w:i w:val="0"/>
      </w:rPr>
    </w:tblStylePr>
    <w:tblStylePr w:type="band1Vert">
      <w:tblPr/>
      <w:tcPr>
        <w:tcBorders>
          <w:top w:val="nil"/>
          <w:left w:val="nil"/>
          <w:bottom w:val="nil"/>
          <w:right w:val="nil"/>
          <w:insideH w:val="nil"/>
          <w:insideV w:val="nil"/>
          <w:tl2br w:val="nil"/>
          <w:tr2bl w:val="nil"/>
        </w:tcBorders>
        <w:shd w:val="clear" w:color="auto" w:fill="F2F2F2" w:themeFill="background1" w:themeFillShade="F2"/>
      </w:tcPr>
    </w:tblStylePr>
    <w:tblStylePr w:type="band1Horz">
      <w:tblPr/>
      <w:tcPr>
        <w:shd w:val="clear" w:color="auto" w:fill="CFE5F7"/>
      </w:tcPr>
    </w:tblStylePr>
    <w:tblStylePr w:type="band2Horz">
      <w:tblPr/>
      <w:tcPr>
        <w:tcBorders>
          <w:top w:val="nil"/>
          <w:left w:val="nil"/>
          <w:bottom w:val="nil"/>
          <w:right w:val="nil"/>
          <w:insideH w:val="nil"/>
          <w:insideV w:val="nil"/>
          <w:tl2br w:val="nil"/>
          <w:tr2bl w:val="nil"/>
        </w:tcBorders>
      </w:tcPr>
    </w:tblStylePr>
  </w:style>
  <w:style w:type="table" w:customStyle="1" w:styleId="DataTableComplete">
    <w:name w:val="Data Table Complete"/>
    <w:basedOn w:val="LLTextTable"/>
    <w:uiPriority w:val="99"/>
    <w:rsid w:val="004D54F4"/>
    <w:pPr>
      <w:jc w:val="right"/>
    </w:pPr>
    <w:tblPr/>
    <w:tblStylePr w:type="firstRow">
      <w:pPr>
        <w:wordWrap/>
        <w:spacing w:beforeLines="0" w:before="60" w:beforeAutospacing="0" w:afterLines="0" w:after="60" w:afterAutospacing="0" w:line="216" w:lineRule="auto"/>
      </w:pPr>
      <w:rPr>
        <w:rFonts w:asciiTheme="majorHAnsi" w:hAnsiTheme="majorHAnsi"/>
        <w:b/>
        <w:color w:val="FFFFFF" w:themeColor="background1"/>
        <w:sz w:val="18"/>
      </w:rPr>
      <w:tblPr/>
      <w:tcPr>
        <w:shd w:val="clear" w:color="auto" w:fill="06357A" w:themeFill="background2"/>
      </w:tcPr>
    </w:tblStylePr>
    <w:tblStylePr w:type="lastRow">
      <w:rPr>
        <w:rFonts w:asciiTheme="minorHAnsi" w:hAnsiTheme="minorHAnsi"/>
        <w:b/>
        <w:sz w:val="18"/>
      </w:rPr>
      <w:tblPr/>
      <w:tcPr>
        <w:tcBorders>
          <w:top w:val="single" w:sz="4" w:space="0" w:color="auto"/>
          <w:left w:val="nil"/>
          <w:bottom w:val="single" w:sz="4" w:space="0" w:color="auto"/>
          <w:right w:val="nil"/>
          <w:insideH w:val="nil"/>
          <w:insideV w:val="nil"/>
          <w:tl2br w:val="nil"/>
          <w:tr2bl w:val="nil"/>
        </w:tcBorders>
      </w:tcPr>
    </w:tblStylePr>
    <w:tblStylePr w:type="firstCol">
      <w:pPr>
        <w:jc w:val="left"/>
      </w:pPr>
      <w:rPr>
        <w:rFonts w:asciiTheme="minorHAnsi" w:hAnsiTheme="minorHAnsi"/>
        <w:b w:val="0"/>
        <w:color w:val="06357A" w:themeColor="background2"/>
        <w:sz w:val="18"/>
      </w:rPr>
      <w:tblPr/>
      <w:tcPr>
        <w:noWrap/>
      </w:tcPr>
    </w:tblStylePr>
    <w:tblStylePr w:type="lastCol">
      <w:rPr>
        <w:b/>
        <w:i w:val="0"/>
      </w:rPr>
    </w:tblStylePr>
    <w:tblStylePr w:type="band1Vert">
      <w:tblPr/>
      <w:tcPr>
        <w:tcBorders>
          <w:top w:val="nil"/>
          <w:left w:val="nil"/>
          <w:bottom w:val="nil"/>
          <w:right w:val="nil"/>
          <w:insideH w:val="nil"/>
          <w:insideV w:val="nil"/>
          <w:tl2br w:val="nil"/>
          <w:tr2bl w:val="nil"/>
        </w:tcBorders>
        <w:shd w:val="clear" w:color="auto" w:fill="F2F2F2" w:themeFill="background1" w:themeFillShade="F2"/>
      </w:tcPr>
    </w:tblStylePr>
    <w:tblStylePr w:type="band1Horz">
      <w:tblPr/>
      <w:tcPr>
        <w:shd w:val="clear" w:color="auto" w:fill="CFE5F7"/>
      </w:tcPr>
    </w:tblStylePr>
    <w:tblStylePr w:type="band2Horz">
      <w:tblPr/>
      <w:tcPr>
        <w:tcBorders>
          <w:top w:val="nil"/>
          <w:left w:val="nil"/>
          <w:bottom w:val="nil"/>
          <w:right w:val="nil"/>
          <w:insideH w:val="nil"/>
          <w:insideV w:val="nil"/>
          <w:tl2br w:val="nil"/>
          <w:tr2bl w:val="nil"/>
        </w:tcBorders>
      </w:tcPr>
    </w:tblStylePr>
  </w:style>
  <w:style w:type="paragraph" w:styleId="Date">
    <w:name w:val="Date"/>
    <w:basedOn w:val="BaseText"/>
    <w:next w:val="BodyText"/>
    <w:link w:val="DateChar"/>
    <w:uiPriority w:val="77"/>
    <w:rsid w:val="004D54F4"/>
    <w:rPr>
      <w:color w:val="FFFFFF" w:themeColor="background1"/>
    </w:rPr>
  </w:style>
  <w:style w:type="character" w:customStyle="1" w:styleId="DateChar">
    <w:name w:val="Date Char"/>
    <w:basedOn w:val="DefaultParagraphFont"/>
    <w:link w:val="Date"/>
    <w:uiPriority w:val="77"/>
    <w:rsid w:val="004D54F4"/>
    <w:rPr>
      <w:color w:val="FFFFFF" w:themeColor="background1"/>
      <w:kern w:val="0"/>
      <w:sz w:val="18"/>
      <w14:ligatures w14:val="none"/>
    </w:rPr>
  </w:style>
  <w:style w:type="paragraph" w:customStyle="1" w:styleId="Disclaimer">
    <w:name w:val="Disclaimer"/>
    <w:basedOn w:val="BaseText"/>
    <w:uiPriority w:val="79"/>
    <w:semiHidden/>
    <w:qFormat/>
    <w:rsid w:val="004D54F4"/>
    <w:pPr>
      <w:spacing w:line="240" w:lineRule="auto"/>
    </w:pPr>
    <w:rPr>
      <w:sz w:val="16"/>
      <w:szCs w:val="16"/>
    </w:rPr>
  </w:style>
  <w:style w:type="paragraph" w:customStyle="1" w:styleId="DividerSubtitleWhite">
    <w:name w:val="Divider Subtitle (White)"/>
    <w:basedOn w:val="BaseHeading"/>
    <w:uiPriority w:val="36"/>
    <w:qFormat/>
    <w:rsid w:val="004D54F4"/>
    <w:rPr>
      <w:color w:val="FFFFFF" w:themeColor="background1"/>
      <w:sz w:val="28"/>
      <w:szCs w:val="36"/>
    </w:rPr>
  </w:style>
  <w:style w:type="paragraph" w:customStyle="1" w:styleId="DividerTitleWhite">
    <w:name w:val="Divider Title (White)"/>
    <w:basedOn w:val="BaseHeading"/>
    <w:next w:val="Normal"/>
    <w:uiPriority w:val="35"/>
    <w:qFormat/>
    <w:rsid w:val="004D54F4"/>
    <w:pPr>
      <w:spacing w:before="480" w:after="120" w:line="216" w:lineRule="auto"/>
      <w:contextualSpacing/>
    </w:pPr>
    <w:rPr>
      <w:color w:val="FFFFFF" w:themeColor="background1"/>
      <w:sz w:val="64"/>
      <w:szCs w:val="48"/>
    </w:rPr>
  </w:style>
  <w:style w:type="paragraph" w:customStyle="1" w:styleId="DocumentStatus">
    <w:name w:val="Document Status"/>
    <w:basedOn w:val="BaseText"/>
    <w:uiPriority w:val="79"/>
    <w:semiHidden/>
    <w:qFormat/>
    <w:rsid w:val="004D54F4"/>
    <w:rPr>
      <w:sz w:val="20"/>
      <w:szCs w:val="20"/>
    </w:rPr>
  </w:style>
  <w:style w:type="character" w:styleId="Emphasis">
    <w:name w:val="Emphasis"/>
    <w:basedOn w:val="DefaultParagraphFont"/>
    <w:uiPriority w:val="11"/>
    <w:qFormat/>
    <w:rsid w:val="004D54F4"/>
    <w:rPr>
      <w:rFonts w:asciiTheme="minorHAnsi" w:hAnsiTheme="minorHAnsi"/>
      <w:i w:val="0"/>
      <w:iCs/>
      <w:color w:val="FF0000"/>
      <w:sz w:val="18"/>
    </w:rPr>
  </w:style>
  <w:style w:type="paragraph" w:styleId="EndnoteText">
    <w:name w:val="endnote text"/>
    <w:basedOn w:val="Normal"/>
    <w:link w:val="EndnoteTextChar"/>
    <w:uiPriority w:val="89"/>
    <w:semiHidden/>
    <w:rsid w:val="004D54F4"/>
    <w:pPr>
      <w:spacing w:after="0" w:line="240" w:lineRule="auto"/>
    </w:pPr>
    <w:rPr>
      <w:sz w:val="16"/>
      <w:szCs w:val="20"/>
    </w:rPr>
  </w:style>
  <w:style w:type="character" w:customStyle="1" w:styleId="EndnoteTextChar">
    <w:name w:val="Endnote Text Char"/>
    <w:basedOn w:val="DefaultParagraphFont"/>
    <w:link w:val="EndnoteText"/>
    <w:uiPriority w:val="89"/>
    <w:semiHidden/>
    <w:rsid w:val="004D54F4"/>
    <w:rPr>
      <w:kern w:val="0"/>
      <w:sz w:val="16"/>
      <w:szCs w:val="20"/>
      <w14:ligatures w14:val="none"/>
    </w:rPr>
  </w:style>
  <w:style w:type="paragraph" w:customStyle="1" w:styleId="FigureSource">
    <w:name w:val="Figure Source"/>
    <w:basedOn w:val="BaseText"/>
    <w:uiPriority w:val="60"/>
    <w:semiHidden/>
    <w:qFormat/>
    <w:rsid w:val="004D54F4"/>
    <w:rPr>
      <w:sz w:val="20"/>
      <w:szCs w:val="20"/>
    </w:rPr>
  </w:style>
  <w:style w:type="paragraph" w:customStyle="1" w:styleId="FigureTitle">
    <w:name w:val="Figure Title"/>
    <w:basedOn w:val="BaseHeading"/>
    <w:uiPriority w:val="59"/>
    <w:semiHidden/>
    <w:qFormat/>
    <w:rsid w:val="004D54F4"/>
    <w:rPr>
      <w:b/>
      <w:color w:val="auto"/>
      <w:sz w:val="20"/>
    </w:rPr>
  </w:style>
  <w:style w:type="paragraph" w:styleId="FootnoteText">
    <w:name w:val="footnote text"/>
    <w:basedOn w:val="Normal"/>
    <w:link w:val="FootnoteTextChar"/>
    <w:uiPriority w:val="89"/>
    <w:semiHidden/>
    <w:rsid w:val="004D54F4"/>
    <w:pPr>
      <w:spacing w:after="0" w:line="240" w:lineRule="auto"/>
    </w:pPr>
    <w:rPr>
      <w:sz w:val="16"/>
      <w:szCs w:val="20"/>
    </w:rPr>
  </w:style>
  <w:style w:type="character" w:customStyle="1" w:styleId="FootnoteTextChar">
    <w:name w:val="Footnote Text Char"/>
    <w:basedOn w:val="DefaultParagraphFont"/>
    <w:link w:val="FootnoteText"/>
    <w:uiPriority w:val="89"/>
    <w:semiHidden/>
    <w:rsid w:val="004D54F4"/>
    <w:rPr>
      <w:kern w:val="0"/>
      <w:sz w:val="16"/>
      <w:szCs w:val="20"/>
      <w14:ligatures w14:val="none"/>
    </w:rPr>
  </w:style>
  <w:style w:type="paragraph" w:customStyle="1" w:styleId="HeadingWhite">
    <w:name w:val="Heading (White)"/>
    <w:basedOn w:val="Heading1"/>
    <w:next w:val="BodyText"/>
    <w:uiPriority w:val="37"/>
    <w:qFormat/>
    <w:rsid w:val="004D54F4"/>
    <w:rPr>
      <w:color w:val="FFFFFF" w:themeColor="background1"/>
    </w:rPr>
  </w:style>
  <w:style w:type="character" w:styleId="Hyperlink">
    <w:name w:val="Hyperlink"/>
    <w:basedOn w:val="DefaultParagraphFont"/>
    <w:uiPriority w:val="99"/>
    <w:rsid w:val="004D54F4"/>
    <w:rPr>
      <w:color w:val="215E9E" w:themeColor="hyperlink"/>
      <w:u w:val="single"/>
    </w:rPr>
  </w:style>
  <w:style w:type="paragraph" w:customStyle="1" w:styleId="LargeStatistic">
    <w:name w:val="Large Statistic"/>
    <w:basedOn w:val="BaseText"/>
    <w:next w:val="BodyText"/>
    <w:uiPriority w:val="30"/>
    <w:semiHidden/>
    <w:qFormat/>
    <w:rsid w:val="004D54F4"/>
    <w:rPr>
      <w:color w:val="06357A" w:themeColor="accent1"/>
      <w:sz w:val="56"/>
      <w:szCs w:val="56"/>
    </w:rPr>
  </w:style>
  <w:style w:type="paragraph" w:customStyle="1" w:styleId="LeadParagraph">
    <w:name w:val="Lead Paragraph"/>
    <w:basedOn w:val="BodyText"/>
    <w:uiPriority w:val="7"/>
    <w:semiHidden/>
    <w:qFormat/>
    <w:rsid w:val="004D54F4"/>
    <w:rPr>
      <w:sz w:val="24"/>
      <w:szCs w:val="24"/>
    </w:rPr>
  </w:style>
  <w:style w:type="paragraph" w:styleId="ListBullet">
    <w:name w:val="List Bullet"/>
    <w:basedOn w:val="BodyText"/>
    <w:uiPriority w:val="7"/>
    <w:qFormat/>
    <w:rsid w:val="004D54F4"/>
    <w:pPr>
      <w:numPr>
        <w:numId w:val="11"/>
      </w:numPr>
    </w:pPr>
  </w:style>
  <w:style w:type="paragraph" w:customStyle="1" w:styleId="ListHeading1White">
    <w:name w:val="List Heading 1 (White)"/>
    <w:basedOn w:val="Heading1"/>
    <w:qFormat/>
    <w:rsid w:val="004D54F4"/>
    <w:pPr>
      <w:numPr>
        <w:numId w:val="12"/>
      </w:numPr>
    </w:pPr>
    <w:rPr>
      <w:color w:val="FFFFFF" w:themeColor="background1"/>
    </w:rPr>
  </w:style>
  <w:style w:type="paragraph" w:customStyle="1" w:styleId="ListHeading2">
    <w:name w:val="List Heading 2"/>
    <w:basedOn w:val="Heading2"/>
    <w:next w:val="BodyText"/>
    <w:qFormat/>
    <w:rsid w:val="004D54F4"/>
    <w:pPr>
      <w:numPr>
        <w:ilvl w:val="1"/>
        <w:numId w:val="12"/>
      </w:numPr>
    </w:pPr>
  </w:style>
  <w:style w:type="paragraph" w:customStyle="1" w:styleId="ListHeading3">
    <w:name w:val="List Heading 3"/>
    <w:basedOn w:val="Heading3"/>
    <w:next w:val="BodyText"/>
    <w:qFormat/>
    <w:rsid w:val="004D54F4"/>
    <w:pPr>
      <w:numPr>
        <w:ilvl w:val="2"/>
        <w:numId w:val="12"/>
      </w:numPr>
    </w:pPr>
  </w:style>
  <w:style w:type="paragraph" w:styleId="ListNumber">
    <w:name w:val="List Number"/>
    <w:basedOn w:val="BodyText"/>
    <w:uiPriority w:val="7"/>
    <w:rsid w:val="004D54F4"/>
    <w:pPr>
      <w:numPr>
        <w:numId w:val="13"/>
      </w:numPr>
    </w:pPr>
  </w:style>
  <w:style w:type="paragraph" w:styleId="NoSpacing">
    <w:name w:val="No Spacing"/>
    <w:basedOn w:val="BaseText"/>
    <w:uiPriority w:val="8"/>
    <w:qFormat/>
    <w:rsid w:val="004D54F4"/>
    <w:pPr>
      <w:spacing w:line="240" w:lineRule="auto"/>
    </w:pPr>
    <w:rPr>
      <w:color w:val="4D4D4F" w:themeColor="text2"/>
    </w:rPr>
  </w:style>
  <w:style w:type="paragraph" w:customStyle="1" w:styleId="NotesBullet0">
    <w:name w:val="Notes Bullet"/>
    <w:basedOn w:val="BodyText"/>
    <w:uiPriority w:val="20"/>
    <w:semiHidden/>
    <w:qFormat/>
    <w:rsid w:val="004D54F4"/>
    <w:pPr>
      <w:numPr>
        <w:numId w:val="14"/>
      </w:numPr>
    </w:pPr>
    <w:rPr>
      <w:sz w:val="16"/>
      <w:szCs w:val="16"/>
    </w:rPr>
  </w:style>
  <w:style w:type="paragraph" w:customStyle="1" w:styleId="NotesHeading">
    <w:name w:val="Notes Heading"/>
    <w:basedOn w:val="BaseHeading"/>
    <w:next w:val="NotesText"/>
    <w:uiPriority w:val="20"/>
    <w:semiHidden/>
    <w:qFormat/>
    <w:rsid w:val="004D54F4"/>
    <w:rPr>
      <w:b/>
      <w:sz w:val="18"/>
    </w:rPr>
  </w:style>
  <w:style w:type="paragraph" w:customStyle="1" w:styleId="NotesNumber0">
    <w:name w:val="Notes Number"/>
    <w:basedOn w:val="BodyText"/>
    <w:uiPriority w:val="20"/>
    <w:semiHidden/>
    <w:qFormat/>
    <w:rsid w:val="004D54F4"/>
    <w:pPr>
      <w:numPr>
        <w:numId w:val="15"/>
      </w:numPr>
    </w:pPr>
    <w:rPr>
      <w:sz w:val="16"/>
      <w:szCs w:val="16"/>
    </w:rPr>
  </w:style>
  <w:style w:type="paragraph" w:customStyle="1" w:styleId="NotesText">
    <w:name w:val="Notes Text"/>
    <w:basedOn w:val="BodyText"/>
    <w:uiPriority w:val="20"/>
    <w:semiHidden/>
    <w:qFormat/>
    <w:rsid w:val="004D54F4"/>
    <w:rPr>
      <w:sz w:val="16"/>
    </w:rPr>
  </w:style>
  <w:style w:type="character" w:styleId="PageNumber">
    <w:name w:val="page number"/>
    <w:uiPriority w:val="90"/>
    <w:semiHidden/>
    <w:rsid w:val="004D54F4"/>
    <w:rPr>
      <w:sz w:val="16"/>
      <w:szCs w:val="20"/>
    </w:rPr>
  </w:style>
  <w:style w:type="character" w:styleId="PlaceholderText">
    <w:name w:val="Placeholder Text"/>
    <w:basedOn w:val="DefaultParagraphFont"/>
    <w:uiPriority w:val="99"/>
    <w:semiHidden/>
    <w:rsid w:val="004D54F4"/>
    <w:rPr>
      <w:color w:val="666666"/>
    </w:rPr>
  </w:style>
  <w:style w:type="paragraph" w:customStyle="1" w:styleId="PrivacyStatus">
    <w:name w:val="Privacy Status"/>
    <w:basedOn w:val="BaseText"/>
    <w:uiPriority w:val="79"/>
    <w:semiHidden/>
    <w:qFormat/>
    <w:rsid w:val="004D54F4"/>
    <w:rPr>
      <w:sz w:val="20"/>
      <w:szCs w:val="20"/>
    </w:rPr>
  </w:style>
  <w:style w:type="paragraph" w:customStyle="1" w:styleId="QuoteLarge">
    <w:name w:val="Quote Large"/>
    <w:basedOn w:val="BodyText"/>
    <w:next w:val="QuoteSourceLarge"/>
    <w:uiPriority w:val="29"/>
    <w:semiHidden/>
    <w:qFormat/>
    <w:rsid w:val="004D54F4"/>
    <w:rPr>
      <w:color w:val="000000" w:themeColor="text1"/>
      <w:sz w:val="36"/>
      <w:szCs w:val="36"/>
    </w:rPr>
  </w:style>
  <w:style w:type="paragraph" w:customStyle="1" w:styleId="QuoteSourceWhite">
    <w:name w:val="Quote Source (White)"/>
    <w:basedOn w:val="BodyText"/>
    <w:next w:val="BodyText"/>
    <w:uiPriority w:val="29"/>
    <w:qFormat/>
    <w:rsid w:val="004D54F4"/>
    <w:rPr>
      <w:color w:val="FFFFFF" w:themeColor="background1"/>
      <w:sz w:val="20"/>
      <w:szCs w:val="20"/>
    </w:rPr>
  </w:style>
  <w:style w:type="paragraph" w:customStyle="1" w:styleId="QuoteSourceLarge">
    <w:name w:val="Quote Source Large"/>
    <w:basedOn w:val="BodyText"/>
    <w:next w:val="BodyText"/>
    <w:uiPriority w:val="29"/>
    <w:semiHidden/>
    <w:qFormat/>
    <w:rsid w:val="004D54F4"/>
    <w:rPr>
      <w:color w:val="000000" w:themeColor="text1"/>
      <w:sz w:val="24"/>
      <w:szCs w:val="24"/>
    </w:rPr>
  </w:style>
  <w:style w:type="paragraph" w:customStyle="1" w:styleId="Smallparagraph">
    <w:name w:val="Small paragraph"/>
    <w:basedOn w:val="BodyText"/>
    <w:next w:val="BodyText"/>
    <w:uiPriority w:val="22"/>
    <w:rsid w:val="004D54F4"/>
    <w:pPr>
      <w:spacing w:line="160" w:lineRule="exact"/>
    </w:pPr>
    <w:rPr>
      <w:color w:val="000000" w:themeColor="text1"/>
    </w:rPr>
  </w:style>
  <w:style w:type="paragraph" w:customStyle="1" w:styleId="Statistic">
    <w:name w:val="Statistic"/>
    <w:basedOn w:val="BaseText"/>
    <w:next w:val="BodyText"/>
    <w:uiPriority w:val="29"/>
    <w:semiHidden/>
    <w:qFormat/>
    <w:rsid w:val="004D54F4"/>
    <w:rPr>
      <w:color w:val="06357A" w:themeColor="accent1"/>
      <w:sz w:val="40"/>
      <w:szCs w:val="40"/>
    </w:rPr>
  </w:style>
  <w:style w:type="character" w:styleId="Strong">
    <w:name w:val="Strong"/>
    <w:basedOn w:val="DefaultParagraphFont"/>
    <w:uiPriority w:val="22"/>
    <w:qFormat/>
    <w:rsid w:val="004D54F4"/>
    <w:rPr>
      <w:rFonts w:asciiTheme="minorHAnsi" w:hAnsiTheme="minorHAnsi"/>
      <w:b/>
      <w:bCs/>
      <w:color w:val="4D4D4F" w:themeColor="text2"/>
      <w:sz w:val="18"/>
    </w:rPr>
  </w:style>
  <w:style w:type="character" w:styleId="SubtleEmphasis">
    <w:name w:val="Subtle Emphasis"/>
    <w:basedOn w:val="DefaultParagraphFont"/>
    <w:uiPriority w:val="11"/>
    <w:qFormat/>
    <w:rsid w:val="004D54F4"/>
    <w:rPr>
      <w:i/>
      <w:iCs/>
      <w:color w:val="404040" w:themeColor="text1" w:themeTint="BF"/>
    </w:rPr>
  </w:style>
  <w:style w:type="character" w:styleId="SubtleReference">
    <w:name w:val="Subtle Reference"/>
    <w:basedOn w:val="DefaultParagraphFont"/>
    <w:uiPriority w:val="15"/>
    <w:qFormat/>
    <w:rsid w:val="004D54F4"/>
    <w:rPr>
      <w:smallCaps/>
      <w:color w:val="5A5A5A" w:themeColor="text1" w:themeTint="A5"/>
    </w:rPr>
  </w:style>
  <w:style w:type="paragraph" w:customStyle="1" w:styleId="TableBullets">
    <w:name w:val="Table Bullets"/>
    <w:basedOn w:val="TableText"/>
    <w:uiPriority w:val="9"/>
    <w:qFormat/>
    <w:rsid w:val="004D54F4"/>
    <w:pPr>
      <w:numPr>
        <w:numId w:val="16"/>
      </w:numPr>
    </w:pPr>
    <w:rPr>
      <w:color w:val="06357A" w:themeColor="background2"/>
    </w:rPr>
  </w:style>
  <w:style w:type="paragraph" w:customStyle="1" w:styleId="TableSubheading">
    <w:name w:val="Table Subheading"/>
    <w:basedOn w:val="BaseHeading"/>
    <w:next w:val="TableBullets"/>
    <w:uiPriority w:val="8"/>
    <w:qFormat/>
    <w:rsid w:val="004D54F4"/>
    <w:pPr>
      <w:spacing w:before="60" w:after="60" w:line="216" w:lineRule="auto"/>
    </w:pPr>
    <w:rPr>
      <w:sz w:val="18"/>
    </w:rPr>
  </w:style>
  <w:style w:type="paragraph" w:styleId="TOC1">
    <w:name w:val="toc 1"/>
    <w:next w:val="Normal"/>
    <w:autoRedefine/>
    <w:uiPriority w:val="39"/>
    <w:unhideWhenUsed/>
    <w:rsid w:val="004D54F4"/>
    <w:pPr>
      <w:tabs>
        <w:tab w:val="right" w:pos="9060"/>
      </w:tabs>
      <w:spacing w:after="120" w:line="216" w:lineRule="auto"/>
    </w:pPr>
    <w:rPr>
      <w:b/>
      <w:color w:val="FFFFFF" w:themeColor="background1"/>
      <w:kern w:val="0"/>
      <w:sz w:val="28"/>
      <w14:ligatures w14:val="none"/>
    </w:rPr>
  </w:style>
  <w:style w:type="paragraph" w:styleId="TOC2">
    <w:name w:val="toc 2"/>
    <w:basedOn w:val="ListHeading2"/>
    <w:next w:val="Normal"/>
    <w:autoRedefine/>
    <w:uiPriority w:val="39"/>
    <w:unhideWhenUsed/>
    <w:rsid w:val="004D54F4"/>
    <w:pPr>
      <w:numPr>
        <w:ilvl w:val="0"/>
        <w:numId w:val="0"/>
      </w:numPr>
      <w:tabs>
        <w:tab w:val="right" w:pos="9060"/>
      </w:tabs>
      <w:spacing w:line="264" w:lineRule="auto"/>
      <w:ind w:left="340"/>
      <w:contextualSpacing/>
    </w:pPr>
    <w:rPr>
      <w:color w:val="FFFFFF" w:themeColor="background1"/>
    </w:rPr>
  </w:style>
  <w:style w:type="paragraph" w:styleId="TOC3">
    <w:name w:val="toc 3"/>
    <w:basedOn w:val="ListHeading3"/>
    <w:next w:val="Normal"/>
    <w:autoRedefine/>
    <w:uiPriority w:val="39"/>
    <w:unhideWhenUsed/>
    <w:rsid w:val="004D54F4"/>
    <w:pPr>
      <w:numPr>
        <w:ilvl w:val="0"/>
        <w:numId w:val="0"/>
      </w:numPr>
      <w:tabs>
        <w:tab w:val="right" w:pos="9061"/>
      </w:tabs>
      <w:spacing w:line="264" w:lineRule="auto"/>
      <w:ind w:left="567"/>
    </w:pPr>
    <w:rPr>
      <w:rFonts w:asciiTheme="minorHAnsi" w:hAnsiTheme="minorHAnsi"/>
      <w:color w:val="FFFFFF" w:themeColor="background1"/>
      <w:sz w:val="20"/>
    </w:rPr>
  </w:style>
  <w:style w:type="paragraph" w:styleId="TOCHeading">
    <w:name w:val="TOC Heading"/>
    <w:aliases w:val="TOC Heading (White)"/>
    <w:basedOn w:val="Heading1"/>
    <w:next w:val="Normal"/>
    <w:uiPriority w:val="38"/>
    <w:unhideWhenUsed/>
    <w:rsid w:val="004D54F4"/>
    <w:pPr>
      <w:spacing w:after="360" w:line="259" w:lineRule="auto"/>
      <w:outlineLvl w:val="9"/>
    </w:pPr>
    <w:rPr>
      <w:b/>
      <w:color w:val="FFFFFF" w:themeColor="background1"/>
    </w:rPr>
  </w:style>
  <w:style w:type="paragraph" w:customStyle="1" w:styleId="TombstoneText">
    <w:name w:val="Tombstone Text"/>
    <w:basedOn w:val="BaseText"/>
    <w:uiPriority w:val="21"/>
    <w:semiHidden/>
    <w:rsid w:val="004D54F4"/>
    <w:pPr>
      <w:spacing w:before="120" w:after="120" w:line="240" w:lineRule="auto"/>
      <w:ind w:left="113" w:right="113"/>
    </w:pPr>
    <w:rPr>
      <w:rFonts w:cstheme="minorHAnsi"/>
      <w:color w:val="000000" w:themeColor="text1"/>
      <w:sz w:val="16"/>
      <w:szCs w:val="24"/>
    </w:rPr>
  </w:style>
  <w:style w:type="paragraph" w:customStyle="1" w:styleId="TombstoneHeading">
    <w:name w:val="Tombstone Heading"/>
    <w:basedOn w:val="TombstoneText"/>
    <w:next w:val="TombstoneText"/>
    <w:uiPriority w:val="21"/>
    <w:semiHidden/>
    <w:rsid w:val="004D54F4"/>
    <w:rPr>
      <w:b/>
      <w:sz w:val="18"/>
      <w:szCs w:val="28"/>
    </w:rPr>
  </w:style>
  <w:style w:type="character" w:styleId="UnresolvedMention">
    <w:name w:val="Unresolved Mention"/>
    <w:basedOn w:val="DefaultParagraphFont"/>
    <w:uiPriority w:val="99"/>
    <w:semiHidden/>
    <w:unhideWhenUsed/>
    <w:rsid w:val="004D54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078987">
      <w:bodyDiv w:val="1"/>
      <w:marLeft w:val="0"/>
      <w:marRight w:val="0"/>
      <w:marTop w:val="0"/>
      <w:marBottom w:val="0"/>
      <w:divBdr>
        <w:top w:val="none" w:sz="0" w:space="0" w:color="auto"/>
        <w:left w:val="none" w:sz="0" w:space="0" w:color="auto"/>
        <w:bottom w:val="none" w:sz="0" w:space="0" w:color="auto"/>
        <w:right w:val="none" w:sz="0" w:space="0" w:color="auto"/>
      </w:divBdr>
      <w:divsChild>
        <w:div w:id="118961012">
          <w:marLeft w:val="274"/>
          <w:marRight w:val="0"/>
          <w:marTop w:val="60"/>
          <w:marBottom w:val="0"/>
          <w:divBdr>
            <w:top w:val="none" w:sz="0" w:space="0" w:color="auto"/>
            <w:left w:val="none" w:sz="0" w:space="0" w:color="auto"/>
            <w:bottom w:val="none" w:sz="0" w:space="0" w:color="auto"/>
            <w:right w:val="none" w:sz="0" w:space="0" w:color="auto"/>
          </w:divBdr>
        </w:div>
        <w:div w:id="255556594">
          <w:marLeft w:val="274"/>
          <w:marRight w:val="0"/>
          <w:marTop w:val="60"/>
          <w:marBottom w:val="0"/>
          <w:divBdr>
            <w:top w:val="none" w:sz="0" w:space="0" w:color="auto"/>
            <w:left w:val="none" w:sz="0" w:space="0" w:color="auto"/>
            <w:bottom w:val="none" w:sz="0" w:space="0" w:color="auto"/>
            <w:right w:val="none" w:sz="0" w:space="0" w:color="auto"/>
          </w:divBdr>
        </w:div>
        <w:div w:id="386805558">
          <w:marLeft w:val="274"/>
          <w:marRight w:val="0"/>
          <w:marTop w:val="60"/>
          <w:marBottom w:val="0"/>
          <w:divBdr>
            <w:top w:val="none" w:sz="0" w:space="0" w:color="auto"/>
            <w:left w:val="none" w:sz="0" w:space="0" w:color="auto"/>
            <w:bottom w:val="none" w:sz="0" w:space="0" w:color="auto"/>
            <w:right w:val="none" w:sz="0" w:space="0" w:color="auto"/>
          </w:divBdr>
        </w:div>
        <w:div w:id="818887427">
          <w:marLeft w:val="274"/>
          <w:marRight w:val="0"/>
          <w:marTop w:val="60"/>
          <w:marBottom w:val="0"/>
          <w:divBdr>
            <w:top w:val="none" w:sz="0" w:space="0" w:color="auto"/>
            <w:left w:val="none" w:sz="0" w:space="0" w:color="auto"/>
            <w:bottom w:val="none" w:sz="0" w:space="0" w:color="auto"/>
            <w:right w:val="none" w:sz="0" w:space="0" w:color="auto"/>
          </w:divBdr>
        </w:div>
        <w:div w:id="965697217">
          <w:marLeft w:val="274"/>
          <w:marRight w:val="0"/>
          <w:marTop w:val="60"/>
          <w:marBottom w:val="0"/>
          <w:divBdr>
            <w:top w:val="none" w:sz="0" w:space="0" w:color="auto"/>
            <w:left w:val="none" w:sz="0" w:space="0" w:color="auto"/>
            <w:bottom w:val="none" w:sz="0" w:space="0" w:color="auto"/>
            <w:right w:val="none" w:sz="0" w:space="0" w:color="auto"/>
          </w:divBdr>
        </w:div>
        <w:div w:id="1546796699">
          <w:marLeft w:val="274"/>
          <w:marRight w:val="0"/>
          <w:marTop w:val="60"/>
          <w:marBottom w:val="0"/>
          <w:divBdr>
            <w:top w:val="none" w:sz="0" w:space="0" w:color="auto"/>
            <w:left w:val="none" w:sz="0" w:space="0" w:color="auto"/>
            <w:bottom w:val="none" w:sz="0" w:space="0" w:color="auto"/>
            <w:right w:val="none" w:sz="0" w:space="0" w:color="auto"/>
          </w:divBdr>
        </w:div>
        <w:div w:id="1624144904">
          <w:marLeft w:val="274"/>
          <w:marRight w:val="0"/>
          <w:marTop w:val="60"/>
          <w:marBottom w:val="0"/>
          <w:divBdr>
            <w:top w:val="none" w:sz="0" w:space="0" w:color="auto"/>
            <w:left w:val="none" w:sz="0" w:space="0" w:color="auto"/>
            <w:bottom w:val="none" w:sz="0" w:space="0" w:color="auto"/>
            <w:right w:val="none" w:sz="0" w:space="0" w:color="auto"/>
          </w:divBdr>
        </w:div>
        <w:div w:id="1666282951">
          <w:marLeft w:val="274"/>
          <w:marRight w:val="0"/>
          <w:marTop w:val="60"/>
          <w:marBottom w:val="0"/>
          <w:divBdr>
            <w:top w:val="none" w:sz="0" w:space="0" w:color="auto"/>
            <w:left w:val="none" w:sz="0" w:space="0" w:color="auto"/>
            <w:bottom w:val="none" w:sz="0" w:space="0" w:color="auto"/>
            <w:right w:val="none" w:sz="0" w:space="0" w:color="auto"/>
          </w:divBdr>
        </w:div>
        <w:div w:id="1989506297">
          <w:marLeft w:val="274"/>
          <w:marRight w:val="0"/>
          <w:marTop w:val="60"/>
          <w:marBottom w:val="0"/>
          <w:divBdr>
            <w:top w:val="none" w:sz="0" w:space="0" w:color="auto"/>
            <w:left w:val="none" w:sz="0" w:space="0" w:color="auto"/>
            <w:bottom w:val="none" w:sz="0" w:space="0" w:color="auto"/>
            <w:right w:val="none" w:sz="0" w:space="0" w:color="auto"/>
          </w:divBdr>
        </w:div>
      </w:divsChild>
    </w:div>
    <w:div w:id="370886666">
      <w:bodyDiv w:val="1"/>
      <w:marLeft w:val="0"/>
      <w:marRight w:val="0"/>
      <w:marTop w:val="0"/>
      <w:marBottom w:val="0"/>
      <w:divBdr>
        <w:top w:val="none" w:sz="0" w:space="0" w:color="auto"/>
        <w:left w:val="none" w:sz="0" w:space="0" w:color="auto"/>
        <w:bottom w:val="none" w:sz="0" w:space="0" w:color="auto"/>
        <w:right w:val="none" w:sz="0" w:space="0" w:color="auto"/>
      </w:divBdr>
    </w:div>
    <w:div w:id="662703456">
      <w:bodyDiv w:val="1"/>
      <w:marLeft w:val="0"/>
      <w:marRight w:val="0"/>
      <w:marTop w:val="0"/>
      <w:marBottom w:val="0"/>
      <w:divBdr>
        <w:top w:val="none" w:sz="0" w:space="0" w:color="auto"/>
        <w:left w:val="none" w:sz="0" w:space="0" w:color="auto"/>
        <w:bottom w:val="none" w:sz="0" w:space="0" w:color="auto"/>
        <w:right w:val="none" w:sz="0" w:space="0" w:color="auto"/>
      </w:divBdr>
      <w:divsChild>
        <w:div w:id="932512588">
          <w:marLeft w:val="446"/>
          <w:marRight w:val="0"/>
          <w:marTop w:val="60"/>
          <w:marBottom w:val="0"/>
          <w:divBdr>
            <w:top w:val="none" w:sz="0" w:space="0" w:color="auto"/>
            <w:left w:val="none" w:sz="0" w:space="0" w:color="auto"/>
            <w:bottom w:val="none" w:sz="0" w:space="0" w:color="auto"/>
            <w:right w:val="none" w:sz="0" w:space="0" w:color="auto"/>
          </w:divBdr>
        </w:div>
        <w:div w:id="1113288592">
          <w:marLeft w:val="446"/>
          <w:marRight w:val="0"/>
          <w:marTop w:val="60"/>
          <w:marBottom w:val="0"/>
          <w:divBdr>
            <w:top w:val="none" w:sz="0" w:space="0" w:color="auto"/>
            <w:left w:val="none" w:sz="0" w:space="0" w:color="auto"/>
            <w:bottom w:val="none" w:sz="0" w:space="0" w:color="auto"/>
            <w:right w:val="none" w:sz="0" w:space="0" w:color="auto"/>
          </w:divBdr>
        </w:div>
        <w:div w:id="1116482077">
          <w:marLeft w:val="446"/>
          <w:marRight w:val="0"/>
          <w:marTop w:val="60"/>
          <w:marBottom w:val="0"/>
          <w:divBdr>
            <w:top w:val="none" w:sz="0" w:space="0" w:color="auto"/>
            <w:left w:val="none" w:sz="0" w:space="0" w:color="auto"/>
            <w:bottom w:val="none" w:sz="0" w:space="0" w:color="auto"/>
            <w:right w:val="none" w:sz="0" w:space="0" w:color="auto"/>
          </w:divBdr>
        </w:div>
        <w:div w:id="1727601094">
          <w:marLeft w:val="446"/>
          <w:marRight w:val="0"/>
          <w:marTop w:val="60"/>
          <w:marBottom w:val="0"/>
          <w:divBdr>
            <w:top w:val="none" w:sz="0" w:space="0" w:color="auto"/>
            <w:left w:val="none" w:sz="0" w:space="0" w:color="auto"/>
            <w:bottom w:val="none" w:sz="0" w:space="0" w:color="auto"/>
            <w:right w:val="none" w:sz="0" w:space="0" w:color="auto"/>
          </w:divBdr>
        </w:div>
        <w:div w:id="2101952110">
          <w:marLeft w:val="446"/>
          <w:marRight w:val="0"/>
          <w:marTop w:val="60"/>
          <w:marBottom w:val="0"/>
          <w:divBdr>
            <w:top w:val="none" w:sz="0" w:space="0" w:color="auto"/>
            <w:left w:val="none" w:sz="0" w:space="0" w:color="auto"/>
            <w:bottom w:val="none" w:sz="0" w:space="0" w:color="auto"/>
            <w:right w:val="none" w:sz="0" w:space="0" w:color="auto"/>
          </w:divBdr>
        </w:div>
      </w:divsChild>
    </w:div>
    <w:div w:id="805314264">
      <w:bodyDiv w:val="1"/>
      <w:marLeft w:val="0"/>
      <w:marRight w:val="0"/>
      <w:marTop w:val="0"/>
      <w:marBottom w:val="0"/>
      <w:divBdr>
        <w:top w:val="none" w:sz="0" w:space="0" w:color="auto"/>
        <w:left w:val="none" w:sz="0" w:space="0" w:color="auto"/>
        <w:bottom w:val="none" w:sz="0" w:space="0" w:color="auto"/>
        <w:right w:val="none" w:sz="0" w:space="0" w:color="auto"/>
      </w:divBdr>
      <w:divsChild>
        <w:div w:id="2434888">
          <w:marLeft w:val="274"/>
          <w:marRight w:val="0"/>
          <w:marTop w:val="60"/>
          <w:marBottom w:val="0"/>
          <w:divBdr>
            <w:top w:val="none" w:sz="0" w:space="0" w:color="auto"/>
            <w:left w:val="none" w:sz="0" w:space="0" w:color="auto"/>
            <w:bottom w:val="none" w:sz="0" w:space="0" w:color="auto"/>
            <w:right w:val="none" w:sz="0" w:space="0" w:color="auto"/>
          </w:divBdr>
        </w:div>
        <w:div w:id="269817700">
          <w:marLeft w:val="274"/>
          <w:marRight w:val="0"/>
          <w:marTop w:val="60"/>
          <w:marBottom w:val="0"/>
          <w:divBdr>
            <w:top w:val="none" w:sz="0" w:space="0" w:color="auto"/>
            <w:left w:val="none" w:sz="0" w:space="0" w:color="auto"/>
            <w:bottom w:val="none" w:sz="0" w:space="0" w:color="auto"/>
            <w:right w:val="none" w:sz="0" w:space="0" w:color="auto"/>
          </w:divBdr>
        </w:div>
        <w:div w:id="407919851">
          <w:marLeft w:val="274"/>
          <w:marRight w:val="0"/>
          <w:marTop w:val="60"/>
          <w:marBottom w:val="0"/>
          <w:divBdr>
            <w:top w:val="none" w:sz="0" w:space="0" w:color="auto"/>
            <w:left w:val="none" w:sz="0" w:space="0" w:color="auto"/>
            <w:bottom w:val="none" w:sz="0" w:space="0" w:color="auto"/>
            <w:right w:val="none" w:sz="0" w:space="0" w:color="auto"/>
          </w:divBdr>
        </w:div>
        <w:div w:id="1277714965">
          <w:marLeft w:val="274"/>
          <w:marRight w:val="0"/>
          <w:marTop w:val="60"/>
          <w:marBottom w:val="0"/>
          <w:divBdr>
            <w:top w:val="none" w:sz="0" w:space="0" w:color="auto"/>
            <w:left w:val="none" w:sz="0" w:space="0" w:color="auto"/>
            <w:bottom w:val="none" w:sz="0" w:space="0" w:color="auto"/>
            <w:right w:val="none" w:sz="0" w:space="0" w:color="auto"/>
          </w:divBdr>
        </w:div>
        <w:div w:id="1318418175">
          <w:marLeft w:val="274"/>
          <w:marRight w:val="0"/>
          <w:marTop w:val="60"/>
          <w:marBottom w:val="0"/>
          <w:divBdr>
            <w:top w:val="none" w:sz="0" w:space="0" w:color="auto"/>
            <w:left w:val="none" w:sz="0" w:space="0" w:color="auto"/>
            <w:bottom w:val="none" w:sz="0" w:space="0" w:color="auto"/>
            <w:right w:val="none" w:sz="0" w:space="0" w:color="auto"/>
          </w:divBdr>
        </w:div>
        <w:div w:id="1589265040">
          <w:marLeft w:val="274"/>
          <w:marRight w:val="0"/>
          <w:marTop w:val="60"/>
          <w:marBottom w:val="0"/>
          <w:divBdr>
            <w:top w:val="none" w:sz="0" w:space="0" w:color="auto"/>
            <w:left w:val="none" w:sz="0" w:space="0" w:color="auto"/>
            <w:bottom w:val="none" w:sz="0" w:space="0" w:color="auto"/>
            <w:right w:val="none" w:sz="0" w:space="0" w:color="auto"/>
          </w:divBdr>
        </w:div>
        <w:div w:id="1848251558">
          <w:marLeft w:val="274"/>
          <w:marRight w:val="0"/>
          <w:marTop w:val="60"/>
          <w:marBottom w:val="0"/>
          <w:divBdr>
            <w:top w:val="none" w:sz="0" w:space="0" w:color="auto"/>
            <w:left w:val="none" w:sz="0" w:space="0" w:color="auto"/>
            <w:bottom w:val="none" w:sz="0" w:space="0" w:color="auto"/>
            <w:right w:val="none" w:sz="0" w:space="0" w:color="auto"/>
          </w:divBdr>
        </w:div>
        <w:div w:id="2058894882">
          <w:marLeft w:val="274"/>
          <w:marRight w:val="0"/>
          <w:marTop w:val="60"/>
          <w:marBottom w:val="0"/>
          <w:divBdr>
            <w:top w:val="none" w:sz="0" w:space="0" w:color="auto"/>
            <w:left w:val="none" w:sz="0" w:space="0" w:color="auto"/>
            <w:bottom w:val="none" w:sz="0" w:space="0" w:color="auto"/>
            <w:right w:val="none" w:sz="0" w:space="0" w:color="auto"/>
          </w:divBdr>
        </w:div>
      </w:divsChild>
    </w:div>
    <w:div w:id="933049038">
      <w:bodyDiv w:val="1"/>
      <w:marLeft w:val="0"/>
      <w:marRight w:val="0"/>
      <w:marTop w:val="0"/>
      <w:marBottom w:val="0"/>
      <w:divBdr>
        <w:top w:val="none" w:sz="0" w:space="0" w:color="auto"/>
        <w:left w:val="none" w:sz="0" w:space="0" w:color="auto"/>
        <w:bottom w:val="none" w:sz="0" w:space="0" w:color="auto"/>
        <w:right w:val="none" w:sz="0" w:space="0" w:color="auto"/>
      </w:divBdr>
      <w:divsChild>
        <w:div w:id="238172941">
          <w:marLeft w:val="274"/>
          <w:marRight w:val="0"/>
          <w:marTop w:val="60"/>
          <w:marBottom w:val="0"/>
          <w:divBdr>
            <w:top w:val="none" w:sz="0" w:space="0" w:color="auto"/>
            <w:left w:val="none" w:sz="0" w:space="0" w:color="auto"/>
            <w:bottom w:val="none" w:sz="0" w:space="0" w:color="auto"/>
            <w:right w:val="none" w:sz="0" w:space="0" w:color="auto"/>
          </w:divBdr>
        </w:div>
        <w:div w:id="838958441">
          <w:marLeft w:val="274"/>
          <w:marRight w:val="0"/>
          <w:marTop w:val="60"/>
          <w:marBottom w:val="0"/>
          <w:divBdr>
            <w:top w:val="none" w:sz="0" w:space="0" w:color="auto"/>
            <w:left w:val="none" w:sz="0" w:space="0" w:color="auto"/>
            <w:bottom w:val="none" w:sz="0" w:space="0" w:color="auto"/>
            <w:right w:val="none" w:sz="0" w:space="0" w:color="auto"/>
          </w:divBdr>
        </w:div>
        <w:div w:id="1460031343">
          <w:marLeft w:val="274"/>
          <w:marRight w:val="0"/>
          <w:marTop w:val="60"/>
          <w:marBottom w:val="0"/>
          <w:divBdr>
            <w:top w:val="none" w:sz="0" w:space="0" w:color="auto"/>
            <w:left w:val="none" w:sz="0" w:space="0" w:color="auto"/>
            <w:bottom w:val="none" w:sz="0" w:space="0" w:color="auto"/>
            <w:right w:val="none" w:sz="0" w:space="0" w:color="auto"/>
          </w:divBdr>
        </w:div>
        <w:div w:id="1732536509">
          <w:marLeft w:val="274"/>
          <w:marRight w:val="0"/>
          <w:marTop w:val="60"/>
          <w:marBottom w:val="0"/>
          <w:divBdr>
            <w:top w:val="none" w:sz="0" w:space="0" w:color="auto"/>
            <w:left w:val="none" w:sz="0" w:space="0" w:color="auto"/>
            <w:bottom w:val="none" w:sz="0" w:space="0" w:color="auto"/>
            <w:right w:val="none" w:sz="0" w:space="0" w:color="auto"/>
          </w:divBdr>
        </w:div>
        <w:div w:id="1885368460">
          <w:marLeft w:val="274"/>
          <w:marRight w:val="0"/>
          <w:marTop w:val="60"/>
          <w:marBottom w:val="0"/>
          <w:divBdr>
            <w:top w:val="none" w:sz="0" w:space="0" w:color="auto"/>
            <w:left w:val="none" w:sz="0" w:space="0" w:color="auto"/>
            <w:bottom w:val="none" w:sz="0" w:space="0" w:color="auto"/>
            <w:right w:val="none" w:sz="0" w:space="0" w:color="auto"/>
          </w:divBdr>
        </w:div>
        <w:div w:id="1965454723">
          <w:marLeft w:val="274"/>
          <w:marRight w:val="0"/>
          <w:marTop w:val="60"/>
          <w:marBottom w:val="0"/>
          <w:divBdr>
            <w:top w:val="none" w:sz="0" w:space="0" w:color="auto"/>
            <w:left w:val="none" w:sz="0" w:space="0" w:color="auto"/>
            <w:bottom w:val="none" w:sz="0" w:space="0" w:color="auto"/>
            <w:right w:val="none" w:sz="0" w:space="0" w:color="auto"/>
          </w:divBdr>
        </w:div>
        <w:div w:id="1982267539">
          <w:marLeft w:val="274"/>
          <w:marRight w:val="0"/>
          <w:marTop w:val="60"/>
          <w:marBottom w:val="0"/>
          <w:divBdr>
            <w:top w:val="none" w:sz="0" w:space="0" w:color="auto"/>
            <w:left w:val="none" w:sz="0" w:space="0" w:color="auto"/>
            <w:bottom w:val="none" w:sz="0" w:space="0" w:color="auto"/>
            <w:right w:val="none" w:sz="0" w:space="0" w:color="auto"/>
          </w:divBdr>
        </w:div>
      </w:divsChild>
    </w:div>
    <w:div w:id="1027758808">
      <w:bodyDiv w:val="1"/>
      <w:marLeft w:val="0"/>
      <w:marRight w:val="0"/>
      <w:marTop w:val="0"/>
      <w:marBottom w:val="0"/>
      <w:divBdr>
        <w:top w:val="none" w:sz="0" w:space="0" w:color="auto"/>
        <w:left w:val="none" w:sz="0" w:space="0" w:color="auto"/>
        <w:bottom w:val="none" w:sz="0" w:space="0" w:color="auto"/>
        <w:right w:val="none" w:sz="0" w:space="0" w:color="auto"/>
      </w:divBdr>
      <w:divsChild>
        <w:div w:id="175581692">
          <w:marLeft w:val="619"/>
          <w:marRight w:val="0"/>
          <w:marTop w:val="60"/>
          <w:marBottom w:val="0"/>
          <w:divBdr>
            <w:top w:val="none" w:sz="0" w:space="0" w:color="auto"/>
            <w:left w:val="none" w:sz="0" w:space="0" w:color="auto"/>
            <w:bottom w:val="none" w:sz="0" w:space="0" w:color="auto"/>
            <w:right w:val="none" w:sz="0" w:space="0" w:color="auto"/>
          </w:divBdr>
        </w:div>
        <w:div w:id="448549831">
          <w:marLeft w:val="619"/>
          <w:marRight w:val="0"/>
          <w:marTop w:val="60"/>
          <w:marBottom w:val="0"/>
          <w:divBdr>
            <w:top w:val="none" w:sz="0" w:space="0" w:color="auto"/>
            <w:left w:val="none" w:sz="0" w:space="0" w:color="auto"/>
            <w:bottom w:val="none" w:sz="0" w:space="0" w:color="auto"/>
            <w:right w:val="none" w:sz="0" w:space="0" w:color="auto"/>
          </w:divBdr>
        </w:div>
        <w:div w:id="680353417">
          <w:marLeft w:val="619"/>
          <w:marRight w:val="0"/>
          <w:marTop w:val="60"/>
          <w:marBottom w:val="0"/>
          <w:divBdr>
            <w:top w:val="none" w:sz="0" w:space="0" w:color="auto"/>
            <w:left w:val="none" w:sz="0" w:space="0" w:color="auto"/>
            <w:bottom w:val="none" w:sz="0" w:space="0" w:color="auto"/>
            <w:right w:val="none" w:sz="0" w:space="0" w:color="auto"/>
          </w:divBdr>
        </w:div>
        <w:div w:id="821625173">
          <w:marLeft w:val="619"/>
          <w:marRight w:val="0"/>
          <w:marTop w:val="60"/>
          <w:marBottom w:val="0"/>
          <w:divBdr>
            <w:top w:val="none" w:sz="0" w:space="0" w:color="auto"/>
            <w:left w:val="none" w:sz="0" w:space="0" w:color="auto"/>
            <w:bottom w:val="none" w:sz="0" w:space="0" w:color="auto"/>
            <w:right w:val="none" w:sz="0" w:space="0" w:color="auto"/>
          </w:divBdr>
        </w:div>
        <w:div w:id="1072435513">
          <w:marLeft w:val="619"/>
          <w:marRight w:val="0"/>
          <w:marTop w:val="60"/>
          <w:marBottom w:val="0"/>
          <w:divBdr>
            <w:top w:val="none" w:sz="0" w:space="0" w:color="auto"/>
            <w:left w:val="none" w:sz="0" w:space="0" w:color="auto"/>
            <w:bottom w:val="none" w:sz="0" w:space="0" w:color="auto"/>
            <w:right w:val="none" w:sz="0" w:space="0" w:color="auto"/>
          </w:divBdr>
        </w:div>
        <w:div w:id="1192306852">
          <w:marLeft w:val="619"/>
          <w:marRight w:val="0"/>
          <w:marTop w:val="60"/>
          <w:marBottom w:val="0"/>
          <w:divBdr>
            <w:top w:val="none" w:sz="0" w:space="0" w:color="auto"/>
            <w:left w:val="none" w:sz="0" w:space="0" w:color="auto"/>
            <w:bottom w:val="none" w:sz="0" w:space="0" w:color="auto"/>
            <w:right w:val="none" w:sz="0" w:space="0" w:color="auto"/>
          </w:divBdr>
        </w:div>
        <w:div w:id="1275820378">
          <w:marLeft w:val="619"/>
          <w:marRight w:val="0"/>
          <w:marTop w:val="60"/>
          <w:marBottom w:val="0"/>
          <w:divBdr>
            <w:top w:val="none" w:sz="0" w:space="0" w:color="auto"/>
            <w:left w:val="none" w:sz="0" w:space="0" w:color="auto"/>
            <w:bottom w:val="none" w:sz="0" w:space="0" w:color="auto"/>
            <w:right w:val="none" w:sz="0" w:space="0" w:color="auto"/>
          </w:divBdr>
        </w:div>
        <w:div w:id="1740446094">
          <w:marLeft w:val="619"/>
          <w:marRight w:val="0"/>
          <w:marTop w:val="60"/>
          <w:marBottom w:val="0"/>
          <w:divBdr>
            <w:top w:val="none" w:sz="0" w:space="0" w:color="auto"/>
            <w:left w:val="none" w:sz="0" w:space="0" w:color="auto"/>
            <w:bottom w:val="none" w:sz="0" w:space="0" w:color="auto"/>
            <w:right w:val="none" w:sz="0" w:space="0" w:color="auto"/>
          </w:divBdr>
        </w:div>
      </w:divsChild>
    </w:div>
    <w:div w:id="1080103924">
      <w:bodyDiv w:val="1"/>
      <w:marLeft w:val="0"/>
      <w:marRight w:val="0"/>
      <w:marTop w:val="0"/>
      <w:marBottom w:val="0"/>
      <w:divBdr>
        <w:top w:val="none" w:sz="0" w:space="0" w:color="auto"/>
        <w:left w:val="none" w:sz="0" w:space="0" w:color="auto"/>
        <w:bottom w:val="none" w:sz="0" w:space="0" w:color="auto"/>
        <w:right w:val="none" w:sz="0" w:space="0" w:color="auto"/>
      </w:divBdr>
      <w:divsChild>
        <w:div w:id="932008000">
          <w:marLeft w:val="274"/>
          <w:marRight w:val="0"/>
          <w:marTop w:val="60"/>
          <w:marBottom w:val="0"/>
          <w:divBdr>
            <w:top w:val="none" w:sz="0" w:space="0" w:color="auto"/>
            <w:left w:val="none" w:sz="0" w:space="0" w:color="auto"/>
            <w:bottom w:val="none" w:sz="0" w:space="0" w:color="auto"/>
            <w:right w:val="none" w:sz="0" w:space="0" w:color="auto"/>
          </w:divBdr>
        </w:div>
        <w:div w:id="1242567041">
          <w:marLeft w:val="274"/>
          <w:marRight w:val="0"/>
          <w:marTop w:val="60"/>
          <w:marBottom w:val="0"/>
          <w:divBdr>
            <w:top w:val="none" w:sz="0" w:space="0" w:color="auto"/>
            <w:left w:val="none" w:sz="0" w:space="0" w:color="auto"/>
            <w:bottom w:val="none" w:sz="0" w:space="0" w:color="auto"/>
            <w:right w:val="none" w:sz="0" w:space="0" w:color="auto"/>
          </w:divBdr>
        </w:div>
        <w:div w:id="1314944726">
          <w:marLeft w:val="274"/>
          <w:marRight w:val="0"/>
          <w:marTop w:val="60"/>
          <w:marBottom w:val="0"/>
          <w:divBdr>
            <w:top w:val="none" w:sz="0" w:space="0" w:color="auto"/>
            <w:left w:val="none" w:sz="0" w:space="0" w:color="auto"/>
            <w:bottom w:val="none" w:sz="0" w:space="0" w:color="auto"/>
            <w:right w:val="none" w:sz="0" w:space="0" w:color="auto"/>
          </w:divBdr>
        </w:div>
        <w:div w:id="1384793292">
          <w:marLeft w:val="274"/>
          <w:marRight w:val="0"/>
          <w:marTop w:val="60"/>
          <w:marBottom w:val="0"/>
          <w:divBdr>
            <w:top w:val="none" w:sz="0" w:space="0" w:color="auto"/>
            <w:left w:val="none" w:sz="0" w:space="0" w:color="auto"/>
            <w:bottom w:val="none" w:sz="0" w:space="0" w:color="auto"/>
            <w:right w:val="none" w:sz="0" w:space="0" w:color="auto"/>
          </w:divBdr>
        </w:div>
        <w:div w:id="1644850485">
          <w:marLeft w:val="274"/>
          <w:marRight w:val="0"/>
          <w:marTop w:val="60"/>
          <w:marBottom w:val="0"/>
          <w:divBdr>
            <w:top w:val="none" w:sz="0" w:space="0" w:color="auto"/>
            <w:left w:val="none" w:sz="0" w:space="0" w:color="auto"/>
            <w:bottom w:val="none" w:sz="0" w:space="0" w:color="auto"/>
            <w:right w:val="none" w:sz="0" w:space="0" w:color="auto"/>
          </w:divBdr>
        </w:div>
        <w:div w:id="1976637223">
          <w:marLeft w:val="274"/>
          <w:marRight w:val="0"/>
          <w:marTop w:val="60"/>
          <w:marBottom w:val="0"/>
          <w:divBdr>
            <w:top w:val="none" w:sz="0" w:space="0" w:color="auto"/>
            <w:left w:val="none" w:sz="0" w:space="0" w:color="auto"/>
            <w:bottom w:val="none" w:sz="0" w:space="0" w:color="auto"/>
            <w:right w:val="none" w:sz="0" w:space="0" w:color="auto"/>
          </w:divBdr>
        </w:div>
        <w:div w:id="2130313708">
          <w:marLeft w:val="274"/>
          <w:marRight w:val="0"/>
          <w:marTop w:val="60"/>
          <w:marBottom w:val="0"/>
          <w:divBdr>
            <w:top w:val="none" w:sz="0" w:space="0" w:color="auto"/>
            <w:left w:val="none" w:sz="0" w:space="0" w:color="auto"/>
            <w:bottom w:val="none" w:sz="0" w:space="0" w:color="auto"/>
            <w:right w:val="none" w:sz="0" w:space="0" w:color="auto"/>
          </w:divBdr>
        </w:div>
      </w:divsChild>
    </w:div>
    <w:div w:id="1523545740">
      <w:bodyDiv w:val="1"/>
      <w:marLeft w:val="0"/>
      <w:marRight w:val="0"/>
      <w:marTop w:val="0"/>
      <w:marBottom w:val="0"/>
      <w:divBdr>
        <w:top w:val="none" w:sz="0" w:space="0" w:color="auto"/>
        <w:left w:val="none" w:sz="0" w:space="0" w:color="auto"/>
        <w:bottom w:val="none" w:sz="0" w:space="0" w:color="auto"/>
        <w:right w:val="none" w:sz="0" w:space="0" w:color="auto"/>
      </w:divBdr>
      <w:divsChild>
        <w:div w:id="1412043629">
          <w:marLeft w:val="446"/>
          <w:marRight w:val="0"/>
          <w:marTop w:val="0"/>
          <w:marBottom w:val="0"/>
          <w:divBdr>
            <w:top w:val="none" w:sz="0" w:space="0" w:color="auto"/>
            <w:left w:val="none" w:sz="0" w:space="0" w:color="auto"/>
            <w:bottom w:val="none" w:sz="0" w:space="0" w:color="auto"/>
            <w:right w:val="none" w:sz="0" w:space="0" w:color="auto"/>
          </w:divBdr>
        </w:div>
        <w:div w:id="1814179292">
          <w:marLeft w:val="446"/>
          <w:marRight w:val="0"/>
          <w:marTop w:val="0"/>
          <w:marBottom w:val="0"/>
          <w:divBdr>
            <w:top w:val="none" w:sz="0" w:space="0" w:color="auto"/>
            <w:left w:val="none" w:sz="0" w:space="0" w:color="auto"/>
            <w:bottom w:val="none" w:sz="0" w:space="0" w:color="auto"/>
            <w:right w:val="none" w:sz="0" w:space="0" w:color="auto"/>
          </w:divBdr>
        </w:div>
      </w:divsChild>
    </w:div>
    <w:div w:id="2100173201">
      <w:bodyDiv w:val="1"/>
      <w:marLeft w:val="0"/>
      <w:marRight w:val="0"/>
      <w:marTop w:val="0"/>
      <w:marBottom w:val="0"/>
      <w:divBdr>
        <w:top w:val="none" w:sz="0" w:space="0" w:color="auto"/>
        <w:left w:val="none" w:sz="0" w:space="0" w:color="auto"/>
        <w:bottom w:val="none" w:sz="0" w:space="0" w:color="auto"/>
        <w:right w:val="none" w:sz="0" w:space="0" w:color="auto"/>
      </w:divBdr>
      <w:divsChild>
        <w:div w:id="326447037">
          <w:marLeft w:val="446"/>
          <w:marRight w:val="0"/>
          <w:marTop w:val="0"/>
          <w:marBottom w:val="0"/>
          <w:divBdr>
            <w:top w:val="none" w:sz="0" w:space="0" w:color="auto"/>
            <w:left w:val="none" w:sz="0" w:space="0" w:color="auto"/>
            <w:bottom w:val="none" w:sz="0" w:space="0" w:color="auto"/>
            <w:right w:val="none" w:sz="0" w:space="0" w:color="auto"/>
          </w:divBdr>
        </w:div>
        <w:div w:id="800730858">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wk\AppData\Local\Temp\Templafy\WordVsto\2jncx5s3.dotx" TargetMode="External"/></Relationships>
</file>

<file path=word/theme/theme1.xml><?xml version="1.0" encoding="utf-8"?>
<a:theme xmlns:a="http://schemas.openxmlformats.org/drawingml/2006/main" name="Office Theme">
  <a:themeElements>
    <a:clrScheme name="__LoyensLoeff">
      <a:dk1>
        <a:srgbClr val="000000"/>
      </a:dk1>
      <a:lt1>
        <a:srgbClr val="FFFFFF"/>
      </a:lt1>
      <a:dk2>
        <a:srgbClr val="4D4D4F"/>
      </a:dk2>
      <a:lt2>
        <a:srgbClr val="06357A"/>
      </a:lt2>
      <a:accent1>
        <a:srgbClr val="06357A"/>
      </a:accent1>
      <a:accent2>
        <a:srgbClr val="00A2E0"/>
      </a:accent2>
      <a:accent3>
        <a:srgbClr val="98C6EC"/>
      </a:accent3>
      <a:accent4>
        <a:srgbClr val="BEDCF4"/>
      </a:accent4>
      <a:accent5>
        <a:srgbClr val="E2F0F6"/>
      </a:accent5>
      <a:accent6>
        <a:srgbClr val="FFFFFF"/>
      </a:accent6>
      <a:hlink>
        <a:srgbClr val="215E9E"/>
      </a:hlink>
      <a:folHlink>
        <a:srgbClr val="215E9E"/>
      </a:folHlink>
    </a:clrScheme>
    <a:fontScheme name="_Kinstella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Blank - arial 10","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25DB9156-77CC-46E6-BC41-BFD3699C2F66}">
  <ds:schemaRefs/>
</ds:datastoreItem>
</file>

<file path=customXml/itemProps2.xml><?xml version="1.0" encoding="utf-8"?>
<ds:datastoreItem xmlns:ds="http://schemas.openxmlformats.org/officeDocument/2006/customXml" ds:itemID="{F4E26A2F-CDB8-4F0A-9F24-69D99A5EB09E}">
  <ds:schemaRefs/>
</ds:datastoreItem>
</file>

<file path=docProps/app.xml><?xml version="1.0" encoding="utf-8"?>
<Properties xmlns="http://schemas.openxmlformats.org/officeDocument/2006/extended-properties" xmlns:vt="http://schemas.openxmlformats.org/officeDocument/2006/docPropsVTypes">
  <Template>2jncx5s3</Template>
  <TotalTime>0</TotalTime>
  <Pages>4</Pages>
  <Words>1143</Words>
  <Characters>5796</Characters>
  <Application>Microsoft Office Word</Application>
  <DocSecurity>0</DocSecurity>
  <Lines>71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Loyens &amp; Loeff</dc:creator>
  <cp:keywords/>
  <dc:description/>
  <cp:lastModifiedBy>Kwinten Dewaele</cp:lastModifiedBy>
  <cp:revision>6</cp:revision>
  <dcterms:created xsi:type="dcterms:W3CDTF">2026-05-02T14:55:00Z</dcterms:created>
  <dcterms:modified xsi:type="dcterms:W3CDTF">2026-05-04T09:09:00Z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loyensloeff</vt:lpwstr>
  </property>
  <property fmtid="{D5CDD505-2E9C-101B-9397-08002B2CF9AE}" pid="3" name="TemplafyTemplateId">
    <vt:lpwstr>1142491709396222032</vt:lpwstr>
  </property>
  <property fmtid="{D5CDD505-2E9C-101B-9397-08002B2CF9AE}" pid="4" name="TemplafyUserProfileId">
    <vt:lpwstr>1258842622578655235</vt:lpwstr>
  </property>
  <property fmtid="{D5CDD505-2E9C-101B-9397-08002B2CF9AE}" pid="5" name="TemplafyFromBlank">
    <vt:bool>true</vt:bool>
  </property>
</Properties>
</file>